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E-6778/2009 vom 28. April 2010</w:t>
      </w:r>
    </w:p>
    <w:p>
      <w:r>
        <w:t>Bundesverwaltungsgericht, 2010-04-28, DE</w:t>
      </w:r>
    </w:p>
    <w:p>
      <w:r>
        <w:rPr>
          <w:b/>
        </w:rPr>
        <w:t xml:space="preserve">Quelle: </w:t>
      </w:r>
      <w:r>
        <w:t>https://mcp.opencaselaw.ch/entscheid/bvger_E-6778_2009</w:t>
      </w:r>
    </w:p>
    <w:p>
      <w:r>
        <w:t>FR: TAF E-6778/2009 du 28 avril 2010</w:t>
      </w:r>
    </w:p>
    <w:p>
      <w:r>
        <w:t>IT: TAF E-6778/2009 del 28 aprile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Die Beschwerdeführerin ist durch die angefochtene Verfügung besonders berührt und hat ein schutzwürdiges Interesse an deren Aufhebung beziehungsweise Änderung; sie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lehnte das Asylgesuch der Beschwerdeführerin ab, da ihre Vorbringen den Anforderungen an die Glaubhaftigkeit gemäss Art. 7 AsylG nicht zu genügen vermöchten. So seien ihre Angaben zur Reise nach Eritrea und zum Aufenthalt von über einem Jahr in C._______ völlig unsubstanziiert und widersprüchlich ausgefallen. In Bezug auf auf den Aufenthalt in Eritrea habe sich zudem bei der vertieften Anhörung herausgestellt, dass die Beschwerdeführerin tigrinya nicht sprechen und nur sehr schwer habe verstehen können, so dass nach wenigen Fragen in dieser Sprache wieder auf amharisch habe gewechselt werden müssen. Dies sei erstaunlich, zumal tigrinya nicht nur eine eritreische Landessprache darstelle, sondern vielmehr amharisch in Eritrea nicht mehr gesprochen noch in der Schule gelehrt oder verwendet werde, da es als die Sprache des Feindes - Äthiopien - gelte. Somit könne in Würdigung der Gesamtumstände auch nicht geglaubt werden, dass die Beschwerdeführerin eritreische Staatsangehörige sei. Es erstaune vor diesem Hintergrund auch nicht, dass sie sich seit der Einreichung ihres Asylgesuchs bis dato noch nicht um die Beschaffung von Identitätspapieren bemüht habe, obwohl aussagegemäss die Grossmutter über solche Papiere verfüge. Ebensowenig sei sie schliesslich in der Lage gewesen, die kompletten Angaben ihrer Wohnadressen in Äthiopien zu nennen, was als Versuch zu werten sei, mögliche Abklärungen vor Ort zu verhindern und ihre wahre Geschichte und ihre richtige Nationalität zu verbergen. Die Beschwerdeführerin sei nach dem Gesagten mit hoher Wahrscheinlichkeit eine äthiopische Staatsangehörige, wobei andere Staatsangehörigkeiten nicht gänzlich auszuschliessen seien.</w:t>
      </w:r>
    </w:p>
    <w:p>
      <w:r>
        <w:rPr>
          <w:b/>
        </w:rPr>
        <w:t>E. 5.2</w:t>
      </w:r>
    </w:p>
    <w:p>
      <w:r>
        <w:t>Aus der Rechtsmitteleingabe ergibt sich zwar als Rüge die Verletzung von Bundesrecht, indem zu Unrecht von der Unglaubhaftigkeit der Vorbringen ausgegangen worden sei. Die Begründung der erhobenen Rüge erweist sich jedoch als zu wenig überzeugend, um damit die Erwägungen des BFM entkräften zu können. So ergibt sich - wie bereits in der Zwischenverfügung vom 4. November 2009 festgehalten - auch nach einer vertieften Prüfung der vorliegenden Akten, dass das BFM zu Recht und mit zutreffender Begründung zur Erkenntnis gelangt ist, die Vorbringen der Beschwerdeführerin seien als unglaubhaft zu werten. Es kann daher vorab auf die zutreffenden Erwägungen der Vorinstanz verwiesen werden. Die Ausführungen in der Beschwerde vermögen daran offensichtlich nichts zu ändern, zumal im Wesentlichen lediglich die Vorbringen wiederholt und auf deren Glaubhaftigkeit und Asylrelevanz beharrt wird. Insbesondere unterliess es die Beschwerdeführerin bis heute, irgendwelche Ausweispapiere respektive Dokumente beizubringen, welche ihre Angaben, insbesondere ihre angebliche eritreische Staatsangehörigkeit, zu stützen vermöchten, oder zumindest entsprechende Beschaffungsbemühungen darzutun. Insoweit die Beschwerdeführerin in der Beschwerde geltend macht, in ihrem Umfeld sei im Wesentlichen amharisch gesprochen worden, ihre Eltern hätten diese Sprache mit ihr gesprochen und auch die Grossmutter habe sie gut beherrscht, vermag dies keine überzeugende Erklärung für die Tatsache zu liefern, dass sie als angebliche Staatsangehörige Eritreas mit einem eritreischen Vater kaum tigrinya spricht respektive auch nur versteht, obwohl der Vater und die Grossmutter untereinander tigrinya gesprochen hätten (vgl. Beschwerdeeingabe S. 4). Ihre fehlenden Kenntnisse dieser Sprache stehen im Übrigen im Widerspruch dazu, dass sie anlässlich der Erstbefragung als Muttersprache tigrinya angab und erklärte, andere Sprachen - ausser ein wenig englisch - spreche sie nicht. Dass sie nun mit der Rechtsmitteleingabe bezüglich ihrer Wohnadresse in Äthiopien eine Kebele-Nummer - jedoch noch immer keine Hausnummer - nachreichte, ändert schliesslich nichts an der insgesamten Unglaubhaftigkeit der Asylvorbringen. Es kann an dieser Stelle darauf verzichtet werden, noch näher auf die Ausführungen in der Beschwerde einzugehen. Die erhobene Rüge erweist sich nach dem Gesagten als unbegründet.</w:t>
      </w:r>
    </w:p>
    <w:p>
      <w:r>
        <w:rPr>
          <w:b/>
        </w:rPr>
        <w:t>E. 5.3</w:t>
      </w:r>
    </w:p>
    <w:p>
      <w:r>
        <w:t>Zusammenfassend folgt, dass die Beschwerdeführerin keine Gründe nach Art. 3 AsylG glaubhaft machen oder nachweisen konnte. Ihr Asylgesuch wurde vom BFM somit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nach Äthiopien ist demnach unter dem Aspekt von Art. 5 AsylG rechtmässig. Sodann ergeben sich weder aus den Aussagen der Beschwerdeführerin noch aus den Akten Anhaltspunkte dafür, dass sie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Auch die allgemeine Menschenrechtssituation in Äthiopien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Nach der bisherigen Rechtsprechung des Bundesverwaltungsgerichts wurde in Äthiopien keine Situation allgemeiner Gewalt festgestellt, weshalb in konstanter Praxis von der generellen Zumutbarkeit des Wegweisungsvollzugs nach Äthiopien ausgegangen wurde (vgl. Urteile des Bundesverwaltungsgerichts E-113/2008 vom 26. Mai 2008, D-4943/2006 vom 8. Juli 2008; EMARK 1998 Nr. 22). Die neuere Rechtsprechung stützte sich dabei unter anderem darauf, dass seit der Unterzeichnung des Friedensabkommens zwischen Äthiopien und Eritrea am 12. Dezember 2000 mit dem sogenannten UNMEE-Mandat betraute UNO-Soldaten die Grenze zwischen den beiden Ländern kontrolliert haben. Zum 31. Juli 2008 wurde das UNMEE-Mandat beendet und die die Grenze kontrollierenden UNO-Soldaten abgezogen. Es ist damit zwar fraglich, ob die bisherige Praxis in dieser Allgemeinheit weiterhin Gültigkeit für sich beanspruchen kann. Indessen haben sich die Kampfhandlungen zwischen eritreischen und äthiopischen Truppen in räumlicher Hinsicht seit jeher auf das Grenzgebiet zwischen beiden Staaten beschränkt. Die Beschwerdeführerin stammt aus der im Landesinnern und von der Grenze mehrere hundert Kilometer entfernt liegenden Hauptstadt Addis Abeba, welche vom Grenzkonflikt in keiner Weise betroffen ist. Schliesslich sind keine individuellen Gründe ersichtlich, die gegen die Zumutbarkeit des Wegweisungsvollzugs sprechen würden. Bei der Beschwerdeführerin handelt es sich um eine junge, gemäss Aktenlage gesunde Frau, die von Geburt an und bis zur Ausreise in Addis Abeba gelebt hat. Aufgrunddessen sowie der unglaubhaft gebliebenen Vorbringen ist zudem davon auszugehen, dass die Beschwerdeführerin in Addis Abeba über ein Beziehungsnetz verfügt, sie mithin bei einer Rückkehr dorthin nicht auf sich allein gestellt ist. Nach dem Gesagten erweist sich Vollzug der Wegweisung auch als zumutbar.</w:t>
      </w:r>
    </w:p>
    <w:p>
      <w:r>
        <w:rPr>
          <w:b/>
        </w:rPr>
        <w:t>E. 7.6</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der Beschwerdeführerin aufzuerlegen (Art. 63 Abs. 1 und 5 VwVG) und auf insgesamt Fr. 600.- festzusetzen (Art. 1-3 des Reglements vom 21. Februar 2008 über die Kosten und Entschädigungen vor dem Bundesverwaltungsgericht [VGKE, SR 173.320.2]) und mit dem am 19. November 2009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