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E-6759/2016 vom 28. November 2016</w:t>
      </w:r>
    </w:p>
    <w:p>
      <w:r>
        <w:t>Bundesverwaltungsgericht, 2016-11-28, DE</w:t>
      </w:r>
    </w:p>
    <w:p>
      <w:r>
        <w:rPr>
          <w:b/>
        </w:rPr>
        <w:t xml:space="preserve">Quelle: </w:t>
      </w:r>
      <w:r>
        <w:t>https://mcp.opencaselaw.ch/entscheid/bvger_E-6759_2016</w:t>
      </w:r>
    </w:p>
    <w:p>
      <w:r>
        <w:t>FR: TAF E-6759/2016 du 28 novembre 2016</w:t>
      </w:r>
    </w:p>
    <w:p>
      <w:r>
        <w:t>IT: TAF E-6759/2016 del 28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Gegenstand des vorliegenden Verfahrens bilden einzig die Fragen der Flüchtlingseigenschaft, des Asyls und der Wegweisung. Der Wegweisungsvollzug ist nicht zu prüfen, nachdem die Vorinstanz die vorläufige Aufnahme zu Gunsten des Beschwerdeführers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2015/3 E. 6.5.1 mit Verweisen und Urteil des Bundesverwaltungsgerichts D-859/2010 vom 10. Oktober 2011 E. 3.2).</w:t>
      </w:r>
    </w:p>
    <w:p>
      <w:r>
        <w:rPr>
          <w:b/>
        </w:rPr>
        <w:t>E. 3.3</w:t>
      </w:r>
    </w:p>
    <w:p>
      <w:r>
        <w:t>Die Vorinstanz gelangt in ihrer Verfügung zum Schluss, aufgrund der unsubstantiierten und stereotypen Schilderungen des Beschwerdeführers seien die Beziehung zu seiner Schwägerin, das fluchtauslösende Moment sowie die Geschehnisse nach der Flucht nicht erstellt. Der Beschwerdeführer habe zentrale Elemente nur oberflächlich und ohne Realkennzeichen geschildert, weshalb der Eindruck entstanden sei, dass er das Erzählte nicht erlebt habe. Zudem seien die Angaben zu den geltend gemachten Ereignissen widersprüchlich, würden in zentralen Punkten der allgemeinen Logik des Handels zuwiderlaufen und seien mit der allgemeinen Erfahrung schwer vereinbar - die Vorbringen seien somit unglaubhaft.</w:t>
      </w:r>
    </w:p>
    <w:p>
      <w:r>
        <w:rPr>
          <w:b/>
        </w:rPr>
        <w:t>E. 3.4</w:t>
      </w:r>
    </w:p>
    <w:p>
      <w:r>
        <w:t>In der Eingabe vom 2. November 2016 wendet der Beschwerdeführer dagegen ein, er habe den Moment, als er von seiner Mutter erwischt worden sei, so detailliert wie möglich beschrieben. Ausserdem sei die Vorinstanz mit den Gegebenheiten in Afghanistan nicht vertraut - Ehebruch sei dort ein schlimmes Verbrechen und werde hart bestraft. Um einen Reputationsverlust der Familie zu verhindern, würden solche Fälle in der Regel nach Scharia oder Brauch beigelegt. Für ihn sei eine Welt zusammengebrochen, als er von seiner Mutter überrascht worden sei. Ihm sei sofort klar gewesen, dass er die Beziehung zu seiner Schwägerin nicht mehr fortsetzen könne und er keine Zukunft in Afghanistan mehr habe. Das Verbrechen sei so gravierend gewesen, er hätte seine Mutter niemals davon überzeugen können, den Vorfall für sich zu behalten. Seit diesem Ereignis wolle seine Familie nichts mehr mit ihm zu tun haben.</w:t>
      </w:r>
    </w:p>
    <w:p>
      <w:r>
        <w:rPr>
          <w:b/>
        </w:rPr>
        <w:t>E. 3.5</w:t>
      </w:r>
    </w:p>
    <w:p>
      <w:r>
        <w:t>Nach Sichtung der Akten kommt das Bundesverwaltungsgericht in Übereinstimmung mit der Vorinstanz zum Schluss, dass es dem Beschwerdeführer nicht gelingt, eine asylrechtlich relevante Verfolgung im Heimatstaat glaubhaft zu machen. Die Vorinstanz führt in der angefochtenen Verfügung eingehend aus, warum die Vorbringen des Beschwerdeführers nicht glaubhaft sind. Tatsächlich mangelt es den Ausführungen des Beschwerdeführers durchwegs an Realitätsnähe. Schon die geltend gemachten Folgen des Ehebruchs sind äusserst zweifelhaft. Aussereheliche Beziehungen sind in Afghanistan sowohl im Strafgesetz als auch gemäss Scharia verboten. Bei Ehebruch werden Frauen in der Regel häufiger und härter als Männer bestraft (vgl. Schweizerische Flüchtlingshilfe (SFH), Afghanistan: Zina, ausserehelicher Geschlechtsverkehr, 2.10.2012, &lt;https://www.fluechtlingshilfe.ch/assets/herkunftslaender/mittlerer-osten-zentralasien/afghanistan/afghanistan-zina-ausserehelicher-geschlechtsverkehr.pdf&gt;, abgerufen am 22.11.2016). So scheint es realitätsfremd, dass sich die Schwägerin ohne weitere Konsequenzen von ihrem Mann scheiden lassen konnte, dem Beschwerdeführer hingegen angeblich der Tod droht (vgl. Akten des Asylverfahrens, A14/22, F130, F135). Noch befremdlicher wirkt allerdings, dass der Beschwerdeführer nach dem Vorfall und nach seiner Flucht zu keinem Zeitpunkt den Kontakt zu seiner Familie oder Schwägerin suchte und sich bis heute nie um eine Aussöhnung bemühte, sondern umgehend in das Ausland flüchtete (vgl. Akten des Asylverfahrens, A 14/22, F 67, F 85). Es wäre zu erwarten gewesen, dass er in sicherer Distanz wenigstens den Versuch einer Versöhnung gewagt hätte. Der Beschwerdeführer hat darüber hinaus zu keiner Zeit schlüssig darlegen können, weshalb er ohne ein Wort der Erklärung unumwunden aus dem Schlafzimmer geflüchtet ist (vgl. Akten des Asylverfahrens, F 117 - F 126). Auch fehlt es seinen Schilderungen des Entdeckungsmoments an Realkennzeichen. Die diesbezügliche Detailarmut lässt vermuten, dass die Asylvorbringen auf Geschehnissen beruhen, die er selbst nicht erlebt hat. Dieser Eindruck wird durch die Widersprüche bei den Angaben zum Datum seiner Ausreise bestätigt. So macht er einmal geltend, er sei im siebten Monat des Jahres 1394 (entspricht 23. September 2015 bis 22. Oktober 2015) aus Afghanistan ausgereist (vgl. Akten des Asylverfahrens, A1/4, S. 2). In der Anhörung behauptet er im Widerspruch dazu, er sei im Jahr 1393 ausgereist und gibt auf Nachfrage an, die Flucht sei im Monat Hamal (21. März 2014 bis 20. April 2014) gewesen (vgl. Akten des Asylverfahrens, A14/22, F 140, F143). Die in der Beschwerde zu diesen Widerspruch angegebene Erklärung vermag nicht zu überzeugen, handelt es sich bei der Ausreise doch um ein zentrales Ereignis, über dessen Zeitpunkt man sich nicht in diesem Umfang verschätzen kann.</w:t>
      </w:r>
    </w:p>
    <w:p>
      <w:r>
        <w:rPr>
          <w:b/>
        </w:rPr>
        <w:t>E. 3.6</w:t>
      </w:r>
    </w:p>
    <w:p>
      <w:r>
        <w:t>Zusammenfassend wird in der Beschwerde nichts vorgebracht, das geeignet wäre, die Asylvorbringen des Beschwerdeführers nachzuweisen oder glaubhaft zu machen. Die Vorinstanz hat das Asylgesuch zu Recht abgelehnt.</w:t>
      </w:r>
    </w:p>
    <w:p>
      <w:r>
        <w:rPr>
          <w:b/>
        </w:rPr>
        <w:t>E. 4</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5</w:t>
      </w:r>
    </w:p>
    <w:p>
      <w:r>
        <w:t>Aus diesen Erwägungen ergibt sich, dass die angefochtene Verfügung Bundesrecht nicht verletzt und auch sonst nicht zu beanstanden ist (Art. 106 AsylG). Die Beschwerde ist abzuweisen.</w:t>
      </w:r>
    </w:p>
    <w:p>
      <w:r>
        <w:rPr>
          <w:b/>
        </w:rPr>
        <w:t>E. 6.1</w:t>
      </w:r>
    </w:p>
    <w:p>
      <w:r>
        <w:t>Der Beschwerdeführer beantragt die Gewährung der unentgeltlichen Rechtspflege (Art. 65 Abs. 1 VwVG). Aus den vorstehenden Erwägungen ergibt sich, dass seine Begehren als aussichtslos zu gelten haben. Damit ist eine der kumulativ zu erfüllenden Voraussetzungen nicht gegeben, weshalb dem Gesuch nicht stattzugeben ist. Aus demselben Grund kann auch dem Gesuch um Beiordnung eines amtlichen Rechtsbeistandes im Sinne von Art. 110a Abs. 1 Bst. a AsylG nicht stattgegeben werden.</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Das Gesuch um Entbindung von der Kostenvorschlusspflicht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