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E-6758/2013 vom 15. Dezember 2014</w:t>
      </w:r>
    </w:p>
    <w:p>
      <w:r>
        <w:t>Bundesverwaltungsgericht, 2014-12-15, DE</w:t>
      </w:r>
    </w:p>
    <w:p>
      <w:r>
        <w:rPr>
          <w:b/>
        </w:rPr>
        <w:t xml:space="preserve">Quelle: </w:t>
      </w:r>
      <w:r>
        <w:t>https://mcp.opencaselaw.ch/entscheid/bvger_E-6758_2013</w:t>
      </w:r>
    </w:p>
    <w:p>
      <w:r>
        <w:t>FR: TAF E-6758/2013 du 15 décembre 2014</w:t>
      </w:r>
    </w:p>
    <w:p>
      <w:r>
        <w:t>IT: TAF E-6758/2013 del 15 dicembre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liegt hier nicht vor somit ist das Bundesverwaltungsgericht vorliegend letztinstanzlich zuständig.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Am 1. Februar 2014 trat die Revision des Asylgesetzes vom 14. Dezember 2012 in Kraft. Gemäss Abs. 1 der diesbezüglichen Übergangsbestimmungen gilt für im Zeitpunkt des Inkrafttretens hängige Verfahren- mit vorliegend nicht einschlägigen Ausnahmen - das neue Recht.</w:t>
      </w:r>
    </w:p>
    <w:p>
      <w:r>
        <w:rPr>
          <w:b/>
        </w:rPr>
        <w:t>E. 3</w:t>
      </w:r>
    </w:p>
    <w:p>
      <w:r>
        <w:t>Die Kognition des Bundesverwaltungsgerichts im Asylbereich und die zulässigen Rügen bestimmen sich nach Art. 106 Abs. 1 AsylG.</w:t>
      </w:r>
    </w:p>
    <w:p>
      <w:r>
        <w:rPr>
          <w:b/>
        </w:rPr>
        <w:t>E. 4.1</w:t>
      </w:r>
    </w:p>
    <w:p>
      <w:r>
        <w:t>Gemäss Art. 2 Abs. 1 AsylG gewährt die Schweiz Flüchtlingen grund­sätzlich Asyl. Als Flüchtling wird eine ausländische Person anerkannt, wenn sie in ihrem Heimatstaat oder in dem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Die Anerkennung der Flüchtlingseigenschaft setzt zudem voraus, dass die betroffene Person landesweiter Verfolgung ausgesetzt ist und nicht in einem anderen Teil ihres Heimatstaates Schutz finden kann (vgl. EMARK 2006 Nr. 18; BVGE 2011/51).</w:t>
      </w:r>
    </w:p>
    <w:p>
      <w:r>
        <w:rPr>
          <w:b/>
        </w:rPr>
        <w:t>E. 4.2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Entscheidend ist, ob eine Gesamtwürdigung der Vorbringen ergibt, dass die Gründe, die für die Richtigkeit der Sachverhaltsdarstellung der asylsuchenden Person sprechen, überwiegen oder nicht (vgl. BVGE 2010/57 E. 2.6, EMARK 2004 Nr. 1 E. 5 S. 4 ff., mit weiteren Hinweisen).</w:t>
      </w:r>
    </w:p>
    <w:p>
      <w:r>
        <w:rPr>
          <w:b/>
        </w:rPr>
        <w:t>E. 5</w:t>
      </w:r>
    </w:p>
    <w:p>
      <w:r>
        <w:t>Vorab ist auf die vom Beschwerdeführer vorgetragenen formellen Rügen betreffend Gewährung von Akteneinsicht einzugehen.</w:t>
      </w:r>
    </w:p>
    <w:p>
      <w:r>
        <w:rPr>
          <w:b/>
        </w:rPr>
        <w:t>E. 5.1</w:t>
      </w:r>
    </w:p>
    <w:p>
      <w:r>
        <w:t>Der Beschwerdeführer rügt, er habe betreffend Lingua-Verfahrens-akten nicht korrekt Akteneinsicht erhalten; insbesondere sei ihm die Lingua-Analyse zu Unrecht nicht offengelegt worden, zumal keine Geheimhaltungsinteressen ersichtlich seien.</w:t>
      </w:r>
    </w:p>
    <w:p>
      <w:r>
        <w:rPr>
          <w:b/>
        </w:rPr>
        <w:t>E. 5.2</w:t>
      </w:r>
    </w:p>
    <w:p>
      <w:r>
        <w:t>Wie das Bundesverwaltungsgericht mit Instruktionsverfügung vom 10. Dezember 2013 festgehalten hat, ist dem Beschwerdeführer seitens des BFM nicht korrekt Akteneinsicht gewährt worden. Wie das Gericht ebenfalls am 10. Dezember 2013 bereits festgestellt hat, ist die Lingua-Analyse als solche nicht offenzulegen. Entgegen der vom Beschwerdeführer vertretenen Ansicht, bestehen nämlich durchaus gewichtige öffentliche und private Geheimhaltungsinteressen. Gegen eine integrale Offenlegung der Lingua-Analyse spricht insbesondere der Umstand, dass ein Lerneffekt, welcher die Prüfung zukünftiger Verfahren erschweren oder gar verunmöglichen würde, vermieden werden soll. Zudem bestehen überwiegende private Geheimhaltungsinteressen der mit den Lingua-Abklärungen betrauten Fachperson (im Hinblick auf mögliche Repressalien oder Drohungen, sollte die Anonymität der Fachperson gefährdet werden, was sich bei einer Aushändigung der Analyse oder der dazugehörigen Tonbandaufnahmen und der Möglichkeit, diese über soziale Medien in kürzester Zeit zu verbreiten, nicht ausschliessen liesse). Hingegen ist gemäss Rechtsprechung (vgl. dazu: EMARK 1998 Nr. 34 E. 9 sowie EMARK 1999 Nr. 20) die Qualifikation des beauftragen Lingua-Experten (Herkunft, Dauer und Zeitraum des Aufenthaltes des Experten im umstrittenen Herkunftsland sowie dessen Werdegang, auf welchen sich seine Sachkompetenz abstützt) dem Probanden vollständig offenzulegen, damit dieser sich eine klare Vorstellung über die gutachterliche Qualifikation machen kann. Im Weiteren ist gemäss langjährig bestehender Rechtsprechung (vgl. EMARK 2003 Nr. 14 E. 9) der wesentliche Inhalt des - nicht der Akteinsicht unterliegenden - Lingua-Analyseberichts im Sinne von Art. 28 VwVG in zusammenfassender Weise dem Probanden bekannt zu geben. Auf die entsprechenden Erwägungen der Instruktionsverfügung vom 10. Dezember 2013 kann an dieser Stelle verwiesen werden. Das BFM ist diesen Erfordernissen am 7. Januar 2014 in korrekter Weise nachträglich nachgekommen. (vgl. Sachverhalt Bst. N).</w:t>
      </w:r>
    </w:p>
    <w:p>
      <w:r>
        <w:rPr>
          <w:b/>
        </w:rPr>
        <w:t>E. 5.3</w:t>
      </w:r>
    </w:p>
    <w:p>
      <w:r>
        <w:t>Mit Zwischenverfügung vom 10. Dezember 2013 (Dispositivziffer 4) wurde festgehalten, dem Beschwerdeführer werde Gelegenheit eingeräumt, ergänzende Ausführungen nachzureichen. Diese Gelegenheit zur Nachreichung ergänzender Ausführungen wurde zwar nicht unter formeller Fristansetzung eingeräumt. Dem Beschwerdeführer stand indessen hinreichend Zeit zur Verfügung, sich ergänzend schriftlich zu äussern: Er hat weder nach Erhalt der Vernehmlassung des BFM vom 9. Januar 2014 noch bei der Einräumung der Gelegenheit, eine Kostennote einzureichen, ergänzend Stellung genommen zur gewährten ergänzenden Akteneinsicht. Aus den Akten geht auch nicht hervor, dass der Beschwerdeführer respektive sein Rechtsvertreter von der Gelegenheit Gebrauch gemacht hätte, die Lingua-Tonbandaufnahmen in den Räumlicheiten des BFM anzuhören, wie dies im Schreiben des BFM vom 26. November 2013 ausdrücklich angeboten worden war.</w:t>
      </w:r>
    </w:p>
    <w:p>
      <w:r>
        <w:rPr>
          <w:b/>
        </w:rPr>
        <w:t>E. 5.4</w:t>
      </w:r>
    </w:p>
    <w:p>
      <w:r>
        <w:t>Durch die nachträgliche Gewährung der korrekten Akteneinsicht durch das BFM am 7. Januar 2014 und durch die anschliessend offenstehende Möglichkeit der Stellungnahme, die nicht wahrgenommen wurde, ist aus heutiger Sicht der formelle Mangel der unkorrekt gewährten Akteneinsicht behoben.</w:t>
      </w:r>
    </w:p>
    <w:p>
      <w:r>
        <w:rPr>
          <w:b/>
        </w:rPr>
        <w:t>E. 5.5</w:t>
      </w:r>
    </w:p>
    <w:p>
      <w:r>
        <w:t>Im Weiteren vermögen die Ausführungen des Beschwerdeführers - wie nachstehend gewürdigt wird - betreffend der Zweifel an der Qualifikation des Lingua-Experten und der daraus angeblich folgenden mangelhaften Aussagekraft der Lingua-Analyse nicht zu überzeugen. Es besteht daher kein Anlass dafür, eine erneute Expertise anzuordnen oder den Beschwerdeführer einem erneuten tibetischen Sprachtest zu unterziehen. Die entsprechenden, in der Beschwerde gestellten Anträge sind daher abzuweisen.</w:t>
      </w:r>
    </w:p>
    <w:p>
      <w:r>
        <w:rPr>
          <w:b/>
        </w:rPr>
        <w:t>E. 6.1</w:t>
      </w:r>
    </w:p>
    <w:p>
      <w:r>
        <w:t>Das Bundesverwaltungsgericht teilt die von der Vorinstanz vertretene Auffassung, wonach sich die Sachverhaltsdarstellung des Beschwerdeführers zum angeblichen ausreiseauslösenden Vorfall in Tibet in unsubstanziierten Schilderungen erschöpft und in wesentlichen Punkten zu wenig begründet oder in sich widersprüchlich ausgefallen ist. Insbesondere konnte der Beschwerdeführer keine detaillierten Angaben zum geltend gemachten Überfall der chinesischen Sicherheitskräfte anlässlich der Dalai-Lama-Feierlichkeiten zu Protokoll geben. Der Frage, wie lange die tibetischen Einwohner schon am Demonstrieren gewesen seien, als die chinesische Polizei erschienen sei (Akte A25, Fragen 31 und 32), ist der Beschwerdeführer beispielsweise ausgewichen. Auch die Fragen, wie viele Personen - nebst dem Beschwerdeführer - Steine auf die Polizisten geworfen haben sollen oder worum es bei den erlittenen Verletzungen im Gesicht gegangen sei, hat er nicht konkret beantwortet können (Fragen 56 und 57 sowie Frage 61). Nachdem der Beschwerdeführer seine vorgetragene Gefährdung im Wesentlichen auf seine aktive Teilnahme an der Kundgebung anlässlich des Dalai-Lama-Festes im Jahr 2004 (respektive 2008) zurückführt, müssen seine diesbezüglichen Schilderungen als vage und teilweise gar ausweichend gewürdigt werden. Insbesondere mutet es unglaubhaft an, dass er nicht weiter auf die Frage nach den Gründen für seine Nasenverletzung eingegangen ist und den konkreten Ablauf dieses Ereignisses nicht näher umschrieben hat, sondern es mit einem Hinweis auf die Geburtstagsfeier (vgl. Antwort zu Frage 61) bewenden liess.</w:t>
      </w:r>
    </w:p>
    <w:p>
      <w:r>
        <w:rPr>
          <w:b/>
        </w:rPr>
        <w:t>E. 6.2.1</w:t>
      </w:r>
    </w:p>
    <w:p>
      <w:r>
        <w:t>Auch die aus der vorgenommenen Lingua-Analyse (vgl. dazu die nach wie vor Gültigkeit beanspruchende Rechtsprechung der ARK, publiziert in EMARK 1998 Nr. 34, EMARK 1999 Nr. 18 bis 20 sowie EMARK 2003 Nr. 14) gewonnenen Erkenntnisse fügen sich in das unglaubhafte Gesamtbild der vorgetragenen Sachverhaltsschilderung ein. Bei der vom BFM in Auftrag gegebenen Sprach- und Herkunftsanalyse wurden sowohl die sprachlichen Fähigkeiten als auch landeskundlich-kulturelle Kenntnisse des Beschwerdeführers geprüft. Bei einer solchen Lingua-Analyse handelt es sich zwar nicht um ein Sachverständigengutachten im Sinne von Art. 12 Bst. e VwVG (vgl. hierzu Art. 57 - Art. 61 des Bundesgesetzes vom 4. Dezember 1947 über den Bundeszivilprozess [BZP, SR 273] i.V.m. Art. 19 VwVG), sondern um eine schriftliche Auskunft einer Drittperson im Sinne von Art. 12 Bst. c VwVG. Das Bundesverwaltungsgericht misst einer Lingua-Analyse jedoch erhöhten Beweiswert zu, sofern bestimmte Anforderungen an die fachliche Qualifikation, Objektivität und Neutralität des Experten sowie die inhaltliche Schlüssigkeit und Nachvollziehbarkeit erfüllt sind, denen eine solche Prüfung zu entsprechen hat (vgl. EMARK 2003 Nr. 14 E. 7; EMARK 1998 Nr. 34; statt vieler: Urteile des Bundesverwaltungsgerichts E-163/2012 vom 7. August 2012 sowie E-6979/2011 vom 23. Januar 2012).</w:t>
      </w:r>
    </w:p>
    <w:p>
      <w:r>
        <w:rPr>
          <w:b/>
        </w:rPr>
        <w:t>E. 6.2.2</w:t>
      </w:r>
    </w:p>
    <w:p>
      <w:r>
        <w:t>Die vorliegend zu beurteilende Lingua-Analyse ist fundiert und mit einer überzeugenden sowie ausgewogenen Begründung versehen, die zu keinen Beanstandungen Anlass gibt. Zudem bestehen an der fachlichen Qualifikation des Sachverständigen keine Zweifel, weshalb der vorliegenden Sprach- und Herkunftsanalyse nach den erwähnten Kriterien erhöhter Beweiswert zugemessen und von ihrer inhaltlichen Richtigkeit und Vollständigkeit ausgegangen wird. Der mit der Erstellung der Lingua-Analyse beauftragte Experte gelangte aufgrund ungenügender geographischer und sprachlicher Kenntnisse des Beschwerdeführers zum eindeutigen Schluss, dass jener mit Bestimmtheit nicht in I._______/D._______/Tibet, sondern höchstwahrscheinlich ausserhalb Tibets sozialisiert worden sei. Der Experte legte überzeugend dar, dass der Beschwerdeführer Tibet nicht in der von ihm angegebenen Zeitabfolge verlassen haben kann. Diese Schlussfolgerung wird, wie das BFM zutreffend erkannte, dadurch bestätigt, dass es dem Beschwerdeführer nicht gelungen ist, die Gründe, welche für die Richtigkeit des von ihm geltend gemachten Hauptausreisegrunds sprechen, glaubhaft zu machen (vgl. E. 6.1). Schliesslich werden auch in der Beschwerdeeingabe keine stichhaltigen Entgegnungen vorgebracht, welche die obigen Erwägungen umzustossen vermögen. Alleine der Hinweis, dass der Beschwerdeführer Zentraltibetisch spreche beziehungsweise dass er mehrere Jahre in K._______ (nach seiner "wirklichen" Ausreise aus Tibet im Jahr 2004 bis ins Jahr 2008) verbracht haben will, vermag nicht auf plausible Weise den Umstand zu erklären, dass der Beschwerdeführer zur Beschreibung von Alltagsgegenständen in Tibet mehrfach Hindi-Lehnwörter verwendet hat.</w:t>
      </w:r>
    </w:p>
    <w:p>
      <w:r>
        <w:rPr>
          <w:b/>
        </w:rPr>
        <w:t>E. 6.3</w:t>
      </w:r>
    </w:p>
    <w:p>
      <w:r>
        <w:t>Zusammenfassend ist somit im Sinne eines ersten Zwischenergebnisses festzuhalten, dass der Beschwerdeführer zwar tibetischer Ethnie ist, seine geltend gemachten Vorbringen hinsicht­lich des Ortes seiner hauptsächlichen Sozialisation, der illegalen Aus­reise aus Tibet im Juli 2004 und der ihm drohenden Gefährdung wegen Teilnahme an Feierlichkeiten anlässlich des Dalai-Lama-Geburtstagsfestes jedoch insgesamt der Glaubhaftigkeit entbehren. Folglich ist es ihm mangels glaubhafter Hinweise nicht gelungen, für den Zeitpunkt sei­ner Ausreise eine individuelle asylrechtlich relevante Verfolgung, die er in seiner Heimat vor seiner Ausreise erlitten habe oder in begründeter Weise zukünftig habe befürchten müssen, nachzuweisen oder glaubhaft zu machen.</w:t>
      </w:r>
    </w:p>
    <w:p>
      <w:r>
        <w:rPr>
          <w:b/>
        </w:rPr>
        <w:t>E. 7.1</w:t>
      </w:r>
    </w:p>
    <w:p>
      <w:r>
        <w:t>Das BFM schliesst aus dem Umstand, dass vorliegend keine Identitätspapiere eingereicht wurden und die Angaben des Beschwerdeführers in Bezug auf den Ort seiner Hauptsozialisation sowie seine Ausreise im Rahmen der Sprach- und Herkunftsanalyse als unglaubhaft zu beurteilen sind, der Beschwerdeführer sei unbekannter Staatsangehörigkeit. Dass er Tibetisch spreche - gemäss eigenen Angaben und gemäss Lingua-Analyse Zentraltibetisch - und tibetischer Ethnie sei (respektive einen tibetischen Hintergrund aufweise), bilde - sinngemäss - dabei keinen ausreichenden Hinweis dafür, dass er die chinesische Staatsangehörigkeit besitze.</w:t>
      </w:r>
    </w:p>
    <w:p>
      <w:r>
        <w:rPr>
          <w:b/>
        </w:rPr>
        <w:t>E. 7.2</w:t>
      </w:r>
    </w:p>
    <w:p>
      <w:r>
        <w:t>Nach ständiger Rechtsprechung des Bundesverwaltungsgerichts ist es nicht Sache der Asylbehörden, nach allfälligen Herkunftsstaaten oder nach Wegweisungshindernissen bezüglich hypothetischer Herkunftsstaaten zu forschen, wenn eine asylsuchende Person ihre Herkunft verschleiert und keine eindeutigen Hinweise auf die tatsächliche Staatsangehörigkeit vorliegen. Die Vorinstanz verkennt jedoch, dass vorliegend gewisse Hinweise auf die tatsächliche Staatsangehörigkeit bestehen (vgl. dazu: BVGE 2014/12 E. 5.1 und 5.2 mit weiterem Verweis auf das Urteil des BVGer C-1048/2006 vom 21. Juli 2010).</w:t>
      </w:r>
    </w:p>
    <w:p>
      <w:r>
        <w:rPr>
          <w:b/>
        </w:rPr>
        <w:t>E. 7.3</w:t>
      </w:r>
    </w:p>
    <w:p>
      <w:r>
        <w:t>Vorab ist festzuhalten, dass die sprach- und länderkundliche Herkunftsanalyse der BFM-internen Fachstelle "Lingua" einzig eine Aussage darüber erlaubt, welchem Land beziehungsweise welcher Region die asylsuchende Person aufgrund ihrer sprachlichen und kulturellen Sozialisation zuzuordnen ist. Eine Zuordnung der Staatsangehörigkeit ist indes nicht möglich, da der Ort der Sozialisation mit demjenigen der Staatsangehörigkeit nicht gleichzusetzen ist (vgl. dazu: BVGE 2014/12 E. 5.3 mit Verweis auf EMARK 2005 Nr. 1 E. 3.2.1). Aufgrund der ausführlich und schlüssig begründeten Lingua-Analyse und der wenig überzeugenden Erklärungsversuche des Beschwerdeführers ist seine angebliche Herkunft aus der Präfektur D._______ nicht glaubhaft gemacht. Vielmehr ist mit überwiegender Wahrscheinlichkeit davon auszugehen, dass er vor seiner Ankunft in der Schweiz nicht in der Volksrepublik China - eine eventuelle frühe Erstsozialisation in Tibet ist allerdings nicht gänzlich ausgeschlossen -, sondern in der exiltibetischen Diaspora gelebt hat. Namhafte exiltibetische Gemeinschaften gibt es - nebst der Schweiz und Nordamerika - lediglich in Indien und Nepal. Dass der Beschwerdeführer aus Nordamerika stammt und ein Asylgesuch in der Schweiz einreicht, hält das Gericht für unplausibel, zumal er dort ohnehin die Staatsangehörigkeit erwerben könnte, weshalb vermutungsweise anzunehmen ist, dass er in Indien oder Nepal aufgewachsen ist beziehungsweise gelebt hat. Aufgrund seiner Sprachkenntnisse kann ausgeschlossen werden, dass er ausserhalb einer grösseren tibetischen Gemeinschaft sozialisiert wurde. Gemäss Lingua-Analyse handelt es sich beim Beschwerdeführer aber um einen ethnischen Tibeter und Muttersprachler, der mithin Tibetisch als Erstsprache gelernt hat. Aus diesen Überlegungen ergeben sich allerdings noch keine schlüssigen Erkenntnisse hinsichtlich der Staatsangehörigkeit des Beschwerdeführers. Es kann jedoch - wie nachstehend aufgezeigt wird - nicht gänzlich ausgeschlossen werden, dass er aufgrund seiner tibetischen Ethnie die chinesische Staatsangehörigkeit besitzt (vgl. BVGE 2014/12 E. 5.3 mit weiterem Verweis auf Urteil C-1048/2006 vom 21. Juli 2010).</w:t>
      </w:r>
    </w:p>
    <w:p>
      <w:r>
        <w:rPr>
          <w:b/>
        </w:rPr>
        <w:t>E. 7.4</w:t>
      </w:r>
    </w:p>
    <w:p>
      <w:r>
        <w:t>Die ARK hat sich bereits 2005 mit der Frage der Staatsangehörigkeit von Personen, die tibetischer Ethnie sind, auseinandergesetzt und dabei festgehalten, auf eine chinesische Staatsangehörigkeit sei zu schliessen, wenn im Einzelfall als erstellt gelte, dass eine asylsuchende Person tibetischer Ethnie sei. Dies sei selbst dann anzunehmen, wenn Hinweise dafür bestehen würden, dass die asylsuchende Person in den exil-tibetischen Gemeinden in Indien oder Nepal gelebt habe, da in der Regel nicht davon ausgegangen werden könne, Exil-Tibeterinnen und -Tibeter würden in diesen Ländern die Staatsangehörigkeit erwerben. Ohne triftige Anhaltspunkte könne eine andere als die chinesische Staatsangehörigkeit weder als erwiesen noch überhaupt als wahrscheinlich erachtet werden (EMARK 2005 Nr. 1 E. 4.1 - 4.3). Die chinesische Gesetzgebung sieht vor, dass eine Person ihre chinesische Staatsangehörigkeit verliert, sobald sie eine andere Nationalität erwirbt. Eine im Ausland geborene Person, welche zumindest einen chinesischen Elternteil hat, wird - wenigstens solange sie nicht durch Geburt oder Einbürgerung eine andere Staatsangehörigkeit erwirbt - als chinesischer Staatsangehöriger betrachtet (vgl. Australian Government Refugee Review Tribunal vom 14. Mai 2010, RRT - Nepal - Country Advice NPL36609 - Tibetans - Citizenship - False documents - Passports - Chinese citizenship - Right of entry - Residence - India, 14.05.2010, http://www.ecoi.net/file_upload-/1997_1294233-654_npl36609.pdf, abgerufen am 08.04.2014; mit Verweis auf weitere Quellen: US Department of State [Country Reports on Human Rights Practices for 2009 - India; März 2010], das US Committee for Refugees and Immigrants USCRI ["World Refugee Survey 2009 - India, von 2009], das Asia Pacific Human Rights Network ["Tibetan Refugees in India: Declining Sympathies, Diminishing Rights", 30. April 2008], BBC News ["Spotlight falls on India's Tibetans", vom 17. April 2008], Bericht von S. MacPherson, A. Bentz und D. Ghoso von September 2008 ["Global Nomads: The Emergence of the Tibetan Diaspora", Migration Information Source, Migration Policy Institute], das UK Home Office [Country of Origin Information Report - China, Januar 2010] sowie das Immigration and Refugee Board of Canada ["China/India: Residency rights of Tibetans residing in India; requirements for Tibetans to obtain and retain permanent residence in India", 7. Juli 2009]).</w:t>
      </w:r>
    </w:p>
    <w:p>
      <w:r>
        <w:rPr>
          <w:b/>
        </w:rPr>
        <w:t>E. 7.5</w:t>
      </w:r>
    </w:p>
    <w:p>
      <w:r>
        <w:t>Das Bundesverwaltungsgericht hat in seinem kürzlich publizierten, oben bereits zitierten, Urteil BVGE 2014/12 vom 20. Mai 2014 die der erwähnten Rechtsprechung der ARK (EMARK 2005 Nr. 1) zugrundeliegenden länderspezifischen Begebenheiten überprüft respektive aktualisiert und präzisiert. In einem ersten Schritt hat das Gericht die Situation der Exil-Tibeterinnen und -Tibeter in Nepal und Indien - insbesondere in Bezug auf den Erwerb der jeweiligen Staatsangehörigkeit und die Möglichkeiten eines legalen Aufenthalts skizziert und dabei auf eine namhafte Anzahl von länderspezifischen Quellen zurückgegriffen (vgl. BVGE 2014/12 E. 5.5-5.7). Das Gericht ist zusammenfassend zum Schluss gekommen, dass für Angehörige der tibetischen Ethnie sowohl in Nepal als auch in Indien die Möglichkeit besteht, unter gewissen Bedingungen eine Aufenthaltsbewilligung zu erhalten, beziehungsweise dass es unter engen Voraussetzungen auch möglich ist, die entsprechende Staatsangehörigkeit zu erwerben, womit die chinesische Staatsangehörigkeit - durch den Erwerb einer neuen Staatsangehörigkeit - wegfällt. Daneben muss aber davon ausgegangen werden, dass ein grosser Teil der in Nepal und Indien lebenden Exil-Tibeterinnen und -Tibeter keine neue Staatsangehörigkeit erworben haben und nach wie vor die chinesische Staatsangehörigkeit besitzen. Für asylsuchende Personen tibetischer Ethnie, welche unglaubhafte Angaben über ihren angeblichen Sozialisierungsraum in China machen, bestehen grundsätzlich folgende mögliche Konstellationen bezüglich der Staatsangehörigkeit : - a. Besitz der chinesischen Staatsangehörigkeit ohne Aufenthaltsbewilligung in Nepal oder Indien (blosse Duldung im betreffenden Drittstaat); - b. Besitz der chinesischen Staatsangehörigkeit mit entsprechender Aufenthaltsbewilligung im Drittstaat Nepal oder Indien; - c. Besitz der Staatsangehörigkeit von Nepal oder von Indien (und damit einhergehendem Verlust der chinesischen Staatsangehörigkeit). Daraus ergibt sich laut zitiertem Urteil des Bundesverwaltungsgerichts folgendes Prüfschema: Besitzt die betreffende Person die chinesische Staatsangehörigkeit und verfügt sie gleichzeitig über eine Aufenthaltsberechtigung im Drittstaat Nepal oder Indien (Konstellation b) oder wird die Person im betreffenden Drittstaat zumindest gelduldet (Konstellation a), wäre eine Prüfung der Drittstaatenregelung im Sinne von Art. 31a Abs. 1 Bst. c AsylG durch die Asylbehörden möglich, vorausgesetzt die asylsuchende Person legt den schweizerischen Behörden alle Fakten im Verfahren dar. Bei der Konstellation b) dürften im Regelfall die Voraussetzungen der Drittstaatenregelung gegeben sein. Hat der tibetische Asylsuchende die Staatsangehörigkeit von Nepal oder Indien erlangt (Konstellation c), hat die betreffende Person die chinesische Staatsangehörigkeit nicht respektive nicht mehr, zumal sie gemäss chinesischer Rechtsprechung durch den Erwerb einer anderweitigen Staatsbürgerschaft die chinesische Nationalität verliert. Diesfalls wäre die Flüchtlingseigenschaft in Bezug auf Nepal beziehungsweise Indien zu prüfen. Vermutungsweise gilt, dass die asylsuchende Person im Land ihrer (neu erlangten) Staatsangehörigkeit keine asylrelevante Gefährdung zu befürchten hat, wenn sie keine entsprechenden Vorbringen glaubhaft vorträgt (vgl. zum Ganzen: BVGE 2014/12 E. 5.8).</w:t>
      </w:r>
    </w:p>
    <w:p>
      <w:r>
        <w:rPr>
          <w:b/>
        </w:rPr>
        <w:t>E. 7.6</w:t>
      </w:r>
    </w:p>
    <w:p>
      <w:r>
        <w:t>Die Abklärungspflicht der Asylbehörden findet ihre Grenze an der Mitwirkungspflicht der asylsuchenden Person. Verunmöglicht ein tibetischer Asylsuchender durch die Verletzung seiner Mitwirkungspflicht die Abklärung, welchen effektiven Status er in Nepal respektive in Indien innehat, kann namentlich keine Drittstaatenabklärung im Sinne von Art. 31a Abs. 1 Bst. c AsylG stattfinden. Durch die Verheimlichung und Verschleierung der wahren Herkunft wird auch die Prüfung der Flüchtlingseigenschaft der betreffenden Person in Bezug auf ihr effektives Heimatland verunmöglicht.</w:t>
      </w:r>
    </w:p>
    <w:p>
      <w:r>
        <w:rPr>
          <w:b/>
        </w:rPr>
        <w:t>E. 7.7</w:t>
      </w:r>
    </w:p>
    <w:p>
      <w:r>
        <w:t>Die bis zum Ergehen des erwähnten Urteils BVGE 2014/12 geltende Rechtsprechung, wie sie in EMARK 2005 Nr. 1 E. 4.3 publiziert worden war, wurde wie folgt präzisiert: Bei Personen tibetischer Ethnie, die ihre wahre Herkunft verschleiern oder verheimlichen, ist vermutungsweise davon auszugehen, dass keine flüchtlings- oder wegweisungsbeachtlichen Gründe gegen eine Rückkehr an ihren bisherigen Aufenthaltsort bestehen.</w:t>
      </w:r>
    </w:p>
    <w:p>
      <w:r>
        <w:rPr>
          <w:b/>
        </w:rPr>
        <w:t>E. 7.8</w:t>
      </w:r>
    </w:p>
    <w:p>
      <w:r>
        <w:t>Nachdem diejenigen Tibeterinnen und Tibeter, die die chinesische Staatsbürgerschaft besitzen, in Bezug auf China zumindest subjektive Nachfluchtgründe haben, weil sie als Unterstützer des Dalai Lama und damit als separatistisch gesinnte Oppositionelle betrachtet werden und - wiederum in Bezug auf China - die Flüchtlingseigenschaft erfüllen (vgl. BVGE 2014/12 E. 5.11 mit weiterem Verweis auf BVGE 2009/29), ist für alle Exil-Tibeterinnen und -Tibeter ein Vollzug nach China auszuschliessen, da ihnen dort gegebenenfalls eine flüchtlingsrelevante Verfolgung droht.</w:t>
      </w:r>
    </w:p>
    <w:p>
      <w:r>
        <w:rPr>
          <w:b/>
        </w:rPr>
        <w:t>E. 8</w:t>
      </w:r>
    </w:p>
    <w:p>
      <w:r>
        <w:t>Vorliegend hat der Beschwerdeführer, welcher unbestrittenermassen tibetischer Ethnie ist, unglaubhafte Angaben zu seiner Sozialisierung, zu seiner wahren Herkunft und zu seinen bisherigen Aufenthaltsorten vor der Einreise in die Schweiz gemacht. Aufgrund dieser unglaubhaften Angaben kann seitens der Asylbehörden nicht eruiert werden, welche der in E. 7.5 genannten Fallkonstellationen auf ihn zutrifft. Dadurch hat er die ihm obliegende Mitwirkungspflicht verletzt. Die Abklärungspflicht der Asylbehörden findet - wie bereits festgehalten - ihre Grenze an der Mitwirkungspflicht der asylsuchenden Person. Vorliegend verunmöglicht der Beschwerdeführer durch die Verletzung seiner Mitwirkungspflicht die Abklärung, welchen effektiven Status er in Nepal respektive in Indien innehat, beziehungsweise die Prüfung, welche Staatsangehörigkeit er besitzt. Durch dieses Verhalten verunmöglicht der Beschwerdeführer eine Prüfung der Drittstaatenregelung im Sinne von Art. 31a Abs. 1 Bst. c AsylG beziehungsweise eine Prüfung seiner allfälligen Flüchtlingseigenschaft in Bezug auf Nepal oder Indien. Der Beschwerdeführer hat durch die Verheimlichung respektive Verschleierung seiner wahren Herkunft die ihm obliegende Mitwirkungspflicht verletzt. Er hat die Folgen seiner fehlenden Mitwirkung insofern zu tragen, als seitens der Asylbehörden der Schluss gezogen werden muss, es spreche nichts gegen eine Rückkehr an den bisherigen Aufenthaltsort, da der Beschwerdeführer keine konkreten, glaubhaften Hinweise geliefert hat, die gegen eine entsprechende Rückkehr sprechen würden. Da der Beschwerdeführer unbestrittenermassen tibetischer Ethnie ist und dadurch auch die Möglichkeit nicht auszuschliessen ist, dass er die chinesische Staatsangehörigkeit besitzt, ist vorliegend der Wegweisungsvollzug nach China auszuschliessen, da ihm dort gegebenenfalls eine flüchtlingsrelevante Verfolgung droht. Das BFM hat den Wegweisungsvollzug nach China zwar in den Erwägungen der angefochtenen Verfügung (vgl. Ziffer III.2), nicht aber im Dispositiv, ausgeschlossen. Um Missverständnisse zu vermeiden, ist die entsprechende Anordnung im Dispositiv des vorliegenden Urteils ausdrücklich festzuhalten.</w:t>
      </w:r>
    </w:p>
    <w:p>
      <w:r>
        <w:rPr>
          <w:b/>
        </w:rPr>
        <w:t>E. 9.1</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9.2</w:t>
      </w:r>
    </w:p>
    <w:p>
      <w:r>
        <w:t>Was die Vollzugshindernisse (Unzulässigkeit, Unzumutbarkeit und Unmöglichkeit) anbelangt, ist festzuhalten, dass das BFM in der angefochtenen Verfügung zu Recht darauf hingewiesen hat, dass es aufgrund der Verletzung der Mitwirkungspflicht des Beschwerdeführers nicht Sache der Asylbehörden ist, bei fehlenden Hinweisen seitens des Beschwerdeführers nach etwaigen Wegweisungsvollzugshindernissen in hypothetischen Herkunftsländern zu forschen. Der Beschwerdeführer hat die Folgen seiner unglaubhaften Identitätsangaben und der Unglaubhaftigkeit des Sachverhaltsvortrages zu tragen, indem vermutungsweise davon auszugehen ist, dass einer Wegweisung in seinen tatsächlichen Heimatstaat, d.h. einer Rückkehr an seinen bisherigen Aufenthaltsort, keine Vollzugshindernisse im Sinne von Art. 44 AsylG i.V.m. Art. 83 Abs. 2-4 AuG entgegen stehen (vgl. dazu oben, E. 8, dritter Abschnitt).</w:t>
      </w:r>
    </w:p>
    <w:p>
      <w:r>
        <w:rPr>
          <w:b/>
        </w:rPr>
        <w:t>E. 10</w:t>
      </w:r>
    </w:p>
    <w:p>
      <w:r>
        <w:t>Aus diesen Erwägungen ergibt sich, dass die angefochtene Verfügung des BFM im Ergebnis zu bestätigen ist. Demzufolge ist die Beschwerde abzuweisen.</w:t>
      </w:r>
    </w:p>
    <w:p>
      <w:r>
        <w:rPr>
          <w:b/>
        </w:rPr>
        <w:t>E. 11.1</w:t>
      </w:r>
    </w:p>
    <w:p>
      <w:r>
        <w:t>Bei diesem Ausgang des Verfahrens wären die Verfahrenskosten grundsätzlich dem Beschwerdeführer aufzuerlegen (Art. 63 Abs. 1 VwVG). Aufgrund der am 10. Dezember 2013 gewährten unentgeltlichen Rechtspflege im Sinne von Art. 65 Abs. 1 VwVG werden indessen die Verfahrenskosten erlassen.</w:t>
      </w:r>
    </w:p>
    <w:p>
      <w:r>
        <w:rPr>
          <w:b/>
        </w:rPr>
        <w:t>E. 11.2</w:t>
      </w:r>
    </w:p>
    <w:p>
      <w:r>
        <w:t>Da der Beschwerdeführer mit seinen Beschwerdevorbringen nicht durchgedrungen ist, ist keine Parteientschädigung auszurichten. Dem Beschwerdeführer ist indessen mit Zwischenverfügung vom 10. Dezember 2013 die unentgeltliche Rechtsverbeiständung i.S. von Art. 65 Abs. 2 VwVG zugesprochen und Rechtsanwalt Hans-Martin Allemann, Rechtsanwalt, Chur, ist ihm als unentgeltlicher Rechtsbeistand beigeordnet worden. Dem Beschwerdeführer respektive seinem Rechtsvertreter ist daher ein amtliches Honorar auszurichten. Rechtsanwalt Hans-Martin Allemann weist in seiner Kostennote vom 23. Juni 2014 einen Arbeitsaufwand von 9.5 Stunden auf. Dieser Arbeitsaufwand ist um die insgesamt 2 Stunden, die im Rahmen des vorinstanzlichen Verfahrens angefallen sind (17.8.2011: Brief an BFM; 11.7.2012: Abklären der Sach- und Rechtslage, Telefonate mit BFM; Brief an Klient) zu kürzen. Der verbleibende Arbeitsaufwand von 7.5 Stunden (zu einem Stundenansatz von Fr. 200.-, ausmachend Fr. 1'500.-) sowie die Auslagen von Fr. 50.- und die Mehrwertsteuer von Fr. 124.-, total Fr. 1'674.-, erweisen sich als angemessen und sind zu entschädigen. Rechtsanwalt Allemann ist zu Lasten des Gerichts ein amtliches Honorar von Fr. 1'674.- (inklusive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