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E-6754/2009 vom 23. August 2012</w:t>
      </w:r>
    </w:p>
    <w:p>
      <w:r>
        <w:t>Bundesverwaltungsgericht, 2012-08-23, DE</w:t>
      </w:r>
    </w:p>
    <w:p>
      <w:r>
        <w:rPr>
          <w:b/>
        </w:rPr>
        <w:t xml:space="preserve">Quelle: </w:t>
      </w:r>
      <w:r>
        <w:t>https://mcp.opencaselaw.ch/entscheid/bvger_E-6754_2009</w:t>
      </w:r>
    </w:p>
    <w:p>
      <w:r>
        <w:t>FR: TAF E-6754/2009 du 23 août 2012</w:t>
      </w:r>
    </w:p>
    <w:p>
      <w:r>
        <w:t>IT: TAF E-6754/2009 del 23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fest, der Beschwerdeführer habe insbesondere hinsichtlich seiner Aufenthaltsorte von Mitte Juli 2007 bis zur Ausreise im Juli 2008 unterschiedliche und damit unglaubhafte Angaben gemacht. Was die für den Zeitraum von 2000 bis 2004 geltend gemachten Festnahmen betreffe, seien diese im Zeitpunkt der Ausreise bereits mehrere Jahre zurückgelegen, womit ein Kausalzusammenhang zwischen diesen Erlebnissen und der Flucht nicht ersichtlich sei. Darüber hinaus seien diese Festnahmen gemäss seinen Angaben jeweils von kurzer Dauer gewesen und ohne weitergehende Konsequenzen geblieben. Ein weiterer Verbleib sei ihm daher nicht in unzumutbarer Weise erschwert worden. Vor diesem Hintergrund genügten diese Festnahmen weder den Anforderungen an die Aktualität noch denjenigen an die Intensität; sie könnten daher nicht als asylrechtlich beachtliche Verfolgungsmassnahmen beurteilt werden.</w:t>
      </w:r>
    </w:p>
    <w:p>
      <w:r>
        <w:rPr>
          <w:b/>
        </w:rPr>
        <w:t>E. 4.2</w:t>
      </w:r>
    </w:p>
    <w:p>
      <w:r>
        <w:t>Soweit der Beschwerdeführer geltend mache, seit dem Jahr 2003 regelmässig alle vier Monate Vorladungen für den Militärdienst erhalten und diese nicht befolgt zu haben, da er als Kurde nicht für den türkischen Staat Militärdienst leisten wolle, seien diese Vorbringen ebenfalls nicht asylrelevant. Die Leistung des Militärdiensts sei eine staatsbürgerliche Pflicht und eine allfällige Verfolgung durch die zuständigen Behörden sei als rechtsstaatlich legitime Massnahme zu beurteilen. In diesem Zusammenhang seien offensichtlich auch die nach seiner Ausreise erfolgten Nachfragen bei den Eltern durch die lokale Gendarmerie zu sehen.</w:t>
      </w:r>
    </w:p>
    <w:p>
      <w:r>
        <w:rPr>
          <w:b/>
        </w:rPr>
        <w:t>E. 4.3</w:t>
      </w:r>
    </w:p>
    <w:p>
      <w:r>
        <w:t>Hinsichtlich der dargelegten Aktivitäten für die HADEP beziehungsweise deren Nachfolgepartei DTP hielt das BFM fest, es habe sich dabei damals um legale Parteien gehandelt. Allein der Umstand, dass die Behörden angeblich aufgrund seiner Tätigkeiten im Rahmen der Wahlen des Jahrs 2000 auf ihn aufmerksam geworden seien, genüge dabei nicht, um bereits eine begründete Furcht vor künftiger asylrelevanter Verfolgung anzunehmen; dies umso weniger, als der Beschwerdeführer ja nicht in exponierter Stellung politisch tätig gewesen sei. Hinsichtlich des Vorfalls vom Juli 2007 sei aufgrund der diesbezüglichen Schilderungen nicht davon auszugehen, dass der Beschwerdeführer, der damals nur einen Tag festgehalten und danach ohne weiteres freigelassen worden sei, mit weiteren Konsequenzen zu rechnen gehabt hätte; überdies seien in diesem Zusammenhang - wie erwähnt - seine Angaben zu den nachfolgenden Aufenthaltsorten innerhalb der Türkei unglaubhaft ausgefallen.</w:t>
      </w:r>
    </w:p>
    <w:p>
      <w:r>
        <w:rPr>
          <w:b/>
        </w:rPr>
        <w:t>E. 5.1</w:t>
      </w:r>
    </w:p>
    <w:p>
      <w:r>
        <w:t>In der Rechtsmitteleingabe wird vorweg der Sachverhalt erneut kurz dargelegt. Entgegen der Auffassung der Vorinstanz sei vorliegend als wesentlicher Sachverhalt anzunehmen, dass der Beschwerdeführer glaubhaft Auseinandersetzungen mit der türkischen Gendarmerie in den Jahren 2000, 2003, 2004 und 2007 geschildert habe. Ausserdem habe er bei der Befragung vom 12. Juni 2009 mitgeteilt, die Gendarmerie habe auch nach seiner Ausreise bei seiner Familie nach ihm gefragt. Allein der Umstand, dass er sich bei den zeitlichen Angaben in Widersprüche verwickelt haben solle, genüge nicht, um ihn als unglaubwürdig zu betrachten und seine Angaben insgesamt als unglaubhaft zu qualifizieren. So sei es eine Tatsache, dass er am (...) eine Verletzung erlitten habe, die von einem Arzt auch nachgewiesen werden könne; diesbezüglich werde er einen entsprechenden Arztbericht nachreichen.</w:t>
      </w:r>
    </w:p>
    <w:p>
      <w:r>
        <w:rPr>
          <w:b/>
        </w:rPr>
        <w:t>E. 5.2</w:t>
      </w:r>
    </w:p>
    <w:p>
      <w:r>
        <w:t>Sodann sei festzuhalten, dass der Beschwerdeführer bei der ersten Befragung sehr aufgeregt gewesen sei und den Dolmetscher "nicht so gut" verstanden habe. Bezüglich der persönlichen Situation vor seiner Ausreise seien daher seine Angaben anlässlich der zweiten Befragung als richtig zu betrachten, zumal er sich auch erst dannzumal richtig und im Detail an die zeitlichen Abläufe habe erinnern können. Es sei nicht nachvollziehbar, dass die Vorinstanz allein aufgrund dieser Ungereimtheiten die Verfolgung als nicht glaubhaft gemacht qualifiziere. Vielmehr würden die Schilderungen den Anforderungen an die Glaubhaftigkeit im Sinn von Art. 7 AsylG standhalten. Nachdem er wegen der Aktivitäten für die DEHAP/DTP festgenommen und geschlagen worden sei, mache er eine asylrechtlich relevante Verfolgung geltend.</w:t>
      </w:r>
    </w:p>
    <w:p>
      <w:r>
        <w:rPr>
          <w:b/>
        </w:rPr>
        <w:t>E. 5.3</w:t>
      </w:r>
    </w:p>
    <w:p>
      <w:r>
        <w:t>Zu dem von der Vorinstanz verneinten Kausalzusammenhang zwischen Verfolgung und Flucht sei Folgendes festzuhalten: Allein der Umstand, dass der Beschwerdeführer zwischen 2004 und 2007 nicht mehr verhaftet worden sei, bedeute noch nicht, dass er nicht tatsächlich verfolgt werde. Vielmehr zeige namentlich der Vorfall vom Juli 2007, dass die politische Verfolgung andauere, zumal die Gendarmerie auch heute noch nach ihm frage. Folglich seien der zeitliche und sachliche Kausalzusammenhang und die Voraussetzungen zur Bejahung der Flüchtlingseigenschaft gegeben. Dass der Beschwerdeführer seiner Militärdienstpflicht nicht nachkommen wolle, sei hingegen als untergeordneter, mithin nicht ausschlaggebender Ausreisegrund zu betrachten.</w:t>
      </w:r>
    </w:p>
    <w:p>
      <w:r>
        <w:rPr>
          <w:b/>
        </w:rPr>
        <w:t>E. 6.1</w:t>
      </w:r>
    </w:p>
    <w:p>
      <w:r>
        <w:t>Entgegen der Auffassung des Beschwerdeführers ist mit der Vorinstanz festzustellen, dass die vom Beschwerdeführer geltend gemachten Kurzfestnahmen in den Jahren 2000, 2003 und 2004 offensichtlich nicht ausschlaggebend für das Verlassen der Heimat im Sommer 2008 waren. Zudem ist nicht davon auszugehen, die Behörden hätten einen konkreten, erhärteten Verdacht hinsichtlich politisch nicht geduldeter Aktivitäten gehegt, hätten diese den Beschwerdeführer sonst doch kaum nach jeweils einer Nacht ohne weiteres freigelassen. Gegen die Annahme einer konkreten Gefahr weiterer Verfolgung spricht in diesem Zusammenhang auch, dass zwischen 2004 und 2007 keine weiteren Festnahmen erfolgt seien und der Beschwerdeführer für diesen Zeitraum auch sonst keine behördlichen Probleme geltend gemacht hat und offensichtlich auch ohne Schwierigkeiten in seinem Heimatdorf leben und seiner Arbeit nachgehen konnte.</w:t>
      </w:r>
    </w:p>
    <w:p>
      <w:r>
        <w:rPr>
          <w:b/>
        </w:rPr>
        <w:t>E. 6.2</w:t>
      </w:r>
    </w:p>
    <w:p>
      <w:r>
        <w:t>Es fällt in diesem Zusammenhang zudem Folgendes auf: Der Beschwerdeführer macht geltend, er sei wegen seiner politischen Aktivitäten mehr als die anderen Familien in den Fokus der Armee geraten. Bei der Erstbefragung hat er beispielsweise ausgesagt, die vier Festnahmen seien alle wegen des Verdachts auf Unterstützung der PKK erfolgt (vgl. Protokoll EVZ S. 4). Es ist nicht nachvollziehbar, dass er namentlich nach Zustellung des ersten Marschbefehls im Jahr 2003 zwar noch mindestens zweimal - in den Jahren 2004 und 2007 - festgenommen, aber jeweils ohne weiteres nach einer Nacht freigekommen sein will. Allein der Verdacht auf Unterstützung der PKK hätte mit Sicherheit zu einem härteren Vorgehen der Militärs geführt. Dies gilt vorliegend um so mehr, als der Beschwerdeführer seit 2003 seiner Militärdienstpflicht nicht nachgekommen sein will, wobei die Gendarmerie darüber im Bild gewesen sei, nach­dem zwei Vorladungen dieser direkt zugestellt worden seien (vgl. Protokoll Anhörung vom 12. Juni 2009 S. 10). Bei dieser Sachlage wäre vielmehr eine längerdauernde Inhaftierung mit entsprechendem Verfahren und/oder eine direkte Zuführung des Beschwerdeführers zum Militärdienst zu erwarten gewesen. Dass vorliegend über den ganzen fraglichen Zeitraum keinerlei Sanktionen in diesem Sinn erfolgt sein sollen, ist in keiner Weise nachvollziehbar. Bezeichnenderweise wird denn auch der (angeblich) nicht geleistete Militärdienst in der Beschwerdeschrift nicht mehr als ausschlaggebend für das Verlassen der Heimat bezeichnet.</w:t>
      </w:r>
    </w:p>
    <w:p>
      <w:r>
        <w:rPr>
          <w:b/>
        </w:rPr>
        <w:t>E. 6.3</w:t>
      </w:r>
    </w:p>
    <w:p>
      <w:r>
        <w:t>Das Fehlen eines zeitlichen und sachlichen Kausalzusammenhangs wird letztlich auch dadurch bestätigt, dass der Beschwerdeführer bei der ausführlichen Befragung zu den Asylgründen (vgl. a.a.O. S. 7) spontan ausschliesslich den Vorfall vom Sommer 2007 geschildert hat, während er die früheren Kurzfestnahmen erst auf gezielte Frage hin überhaupt erwähnte und auch ausführte, im Zeitpunkt der Ausreise habe kein Haftbefehl gegen ihn existiert (a.a.O. S. 10).</w:t>
      </w:r>
    </w:p>
    <w:p>
      <w:r>
        <w:rPr>
          <w:b/>
        </w:rPr>
        <w:t>E. 6.4</w:t>
      </w:r>
    </w:p>
    <w:p>
      <w:r>
        <w:t>Hinsichtlich des Ereignisses vom Sommer 2007 ist - wie oben festgestellt - schon aufgrund dessen, dass er bis dahin seiner Militärdienstpflicht keine Folge geleistet haben will, nicht nachvollziehbar, dass er auch hier nach einer Nacht auf dem Posten ohne weiteres freigekommen sein soll; dies umso weniger, als es im Vorfeld dieser Festnahme zu einer handgreiflichen Auseinandersetzung mit dem Kommandanten gekommen sein soll.</w:t>
      </w:r>
    </w:p>
    <w:p>
      <w:r>
        <w:rPr>
          <w:b/>
        </w:rPr>
        <w:t>E. 6.5</w:t>
      </w:r>
    </w:p>
    <w:p>
      <w:r>
        <w:t>Die Zweifel an diesem letzten, vom Beschwerdeführer als zentral dargelegten Vorfall werden durch weitere Unglaubhaftigkeitselemente erhärtet: Einerseits ist nicht nachvollziehbar, dass der Beschwerdeführer bei tatsächlicher Furcht vor landesweiter Verfolgung (vgl. Protokoll Anhörung vom 12. Juni 2009 S. 10) noch rund ein Jahr lang mit seiner Ausreise zugewartet hat. Andererseits hat er in der Tat seine angeblichen verschiedenen Aufenthalte in diesem Jahr widersprüchlich dargelegt. Anfänglich erklärte er, nach seinem Weggang aus dem Dorf im Juli 2007 sei er nie mehr in sein Heimatdorf zurückgekehrt (vgl. a.a.O. S. 9). Später führte er aus, er sei unmittelbar nach dem Vorfall im Juli 2007 nach D._______, dann nach E._______ (Provinz Mus) gegangen und von dort für zwei Tage nach Hause zurückgekehrt (vgl. a.a.O. S. 11). Für die geltend gemachten Kommunikationsprobleme zwischen dem Beschwerdeführer und dem an der Erstbefragung teilnehmenden Dolmetscher (vgl. Beschwerde S. 5), sind den Akten nicht nur keine konkreten Anhaltspunkte zu entnehmen; vielmehr hatte der Beschwerdeführer zweimal zu Protokoll gegeben, diesen Übersetzer gut verstanden zu haben (vgl. Protokoll EVZ S. 5). Insgesamt kann der für die Ausreise als zentral geschilderte Vorfall vom Juli 2007 dem Beschwerdeführer nach dem Gesagten nicht geglaubt werden.</w:t>
      </w:r>
    </w:p>
    <w:p>
      <w:r>
        <w:rPr>
          <w:b/>
        </w:rPr>
        <w:t>E. 6.6</w:t>
      </w:r>
    </w:p>
    <w:p>
      <w:r>
        <w:t>Ungeachtet der Frage der Glaubhaftigkeit wäre zudem festzustellen, dass es sich bei diesem Ereignis offenbar um eine allgemeine Militäraktion in der Heimatregion des Beschwerdeführers gehandelt hätte, die ausserdem für den Beschwerdeführer offensichtlich keine weiteren behördlichen Folgen zeitigte. Selbst bei Annahme der Wahrheit dieses Vorbringens ist mithin davon auszugehen, er hätte sich allfälligen weiteren Behelligungen durch die Gendarmen des lokalen Postens durch Nutzen einer innerstaatlichen Ausweichmöglichkeit entziehen können. Dies gilt umso mehr, als gemäss seinen Angaben damals kein Haftbefehl erlassen, folglich auch kein Verfahren gegen ihn eröffnet worden sein soll. Die diesbezügliche Befürchtung des Beschwerdeführers vor landesweiter Verfolgung erwiese sich auch unter diesem Gesichtspunkt als kaum begründet.</w:t>
      </w:r>
    </w:p>
    <w:p>
      <w:r>
        <w:rPr>
          <w:b/>
        </w:rPr>
        <w:t>E. 6.7</w:t>
      </w:r>
    </w:p>
    <w:p>
      <w:r>
        <w:t>Hinsichtlich der Mitgliedschaft bei der DTP ist festzuhalten, dass diese Organisation zwar am 11. Dezember 2009 durch einen Entscheid des Verfassungsgerichts in der Türkei verboten worden ist. Die Abgeordneten der DTP in der türkischen Regierung behielten jedoch grösstenteils - als Parteilose - ihre Mandate. Ende Dezember 2009 traten sie mehrheitlich der Nachfolgepartei BDP bei und bildeten innerhalb dieser eine eigene Fraktion. Der Beschwerdeführer sei nur auf lokaler Ebene und dabei nicht in exponierter Stellung für die DTP tätig gewesen; zudem hätten sich seine Aktivitäten auf den Zeitraum beschränkt, als die DTP als legale Partei agieren konnte. Es ist daher im heutigen Zeitpunkt nicht mit beachtlicher Wahrscheinlichkeit anzunehmen, ihm drohten aus diesem Grund bei einer Rückkehr behördliche Verfolgungsmassnahmen; mithin ist diesbezüglich keine begründete Furcht vor künftiger Verfolgung anzunehmen. Die Frage der Glaubhaftigkeit dieser Vorbringen kann daher zwar letztlich offen bleiben; immerhin fällt in diesem Zusammenhang auf, dass der Beschwerdeführer zwar unter anderem Vertreter der Leitung der Jugendarbeit der DTP in seiner Region gewesen sein will, dabei jedoch erstaunlicherweise nicht in der Lage gewesen ist, die Abkürzung "DTP" zu erklären (vgl. Protokoll EVZ S. 4).</w:t>
      </w:r>
    </w:p>
    <w:p>
      <w:r>
        <w:rPr>
          <w:b/>
        </w:rPr>
        <w:t>E. 6.8</w:t>
      </w:r>
    </w:p>
    <w:p>
      <w:r>
        <w:t>Der Beschwerdeführer erklärt auf Beschwerdeebene, der Militärdienst respektive das Nichtbefolgen der Vorladungen hierzu seien nicht der Hauptgrund für seine Ausreise gewesen. Davon ist Kenntnis zu nehmen. Dennoch sind der Vollständigkeit halber die diesbezüglichen Erwägungen der Vorinstanz zu bestätigen, wonach ein allfälliges militärstrafrechtliches Verfahren im Zusammenhang mit der Dienstverweigerung eine grundsätzlich legitime staatsbürgerliche Pflicht betrifft, diesem daher flüchtlingsrechtlich grundsätzlich keine Relevanz zukommt.</w:t>
      </w:r>
    </w:p>
    <w:p>
      <w:r>
        <w:rPr>
          <w:b/>
        </w:rPr>
        <w:t>E. 6.9</w:t>
      </w:r>
    </w:p>
    <w:p>
      <w:r>
        <w:t>Der Beschwerdeführer hat ausserdem angegeben, ein Stiefbruder sei anerkannter Flüchtling in Deutschland, und ein Cousin habe in der Schweiz Asyl erhalten. Allerdings hat er in diesem Zusammenhang im vorliegenden Verfahren nicht geltend gemacht, ihm seien deswegen persönlich asylrechtlich relevante Nachteile erwachsen, mithin ist auch vor diesem Hintergrund nicht davon auszugehen, ihm drohten mit beachtlicher Wahrscheinlichkeit in absehbarer Zukunft flüchtlingsrechtlich relevante Verfolgungsmassnahmen.</w:t>
      </w:r>
    </w:p>
    <w:p>
      <w:r>
        <w:rPr>
          <w:b/>
        </w:rPr>
        <w:t>E. 6.10</w:t>
      </w:r>
    </w:p>
    <w:p>
      <w:r>
        <w:t>In Würdigung der gesamten vorliegenden Aktenlage kommt das Bundesverwaltungsgericht zum Schluss, dass der Beschwerdeführer keine Gründe nach Art. 3 AsylG nachweisen oder glaubhaft machen konnte. Die Vorinstanz hat das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des Geltendmachens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 / Rudin / Hugi Yar / 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Eine solche Situation, welche den Beschwerdeführer als Gewalt- oder De-facto-Flüchtling qualifizieren würde, liegt nicht vor, zumal gemäss konstanter Praxis mit Bezug auf die südöstlichen Provinzen in der Türkei seit längeren Zeit nicht mehr von einer generellen Unzumutbarkeit des Wegweisungsvollzugs ausgegangen wird (vgl. etwa Entscheidungen und Mitteilungen der vormaligen Schweizerischen Asylrekurskommission [EMARK] 2004 Nr. 8 mit weiteren Hinweisen).</w:t>
      </w:r>
    </w:p>
    <w:p>
      <w:r>
        <w:rPr>
          <w:b/>
        </w:rPr>
        <w:t>E. 8.4.2</w:t>
      </w:r>
    </w:p>
    <w:p>
      <w:r>
        <w:t>Individuelle, über die allgemeine Situation hinausgehende Gründe für eine Unzumutbarkeit des Vollzugs hat der Beschwerdeführer in seinem Rechtsmittel nicht konkret aufgezeigt: Der Beschwerdeführer ist kurdischer Ethnie und in B._______ in der Provinz Bingöl geboren und hat dort bis zur Ausreise Wohnsitz gehabt. Er hat eigenen Angaben zufolge zwar nie die Schule besucht, sich aber etwas Lesen und Schreiben selber beigebracht. Er hat indessen auch angegeben, mit der Familie eine grosse (...)zucht betrieben zu haben und dabei zu Wohlstand gekommen zu sein. Seine Mutter, seine Ehefrau und ein Kind leben im Heimatdorf. Zudem hat der Beschwerdeführer ausserhalb der Heimatregion ein weiteres verwandtschaftliches Beziehungsnetz: So leben in F._______ und in G._______ je eine Halbschwester und in der Provinz H._______ lebt eine Schwester. Auch hat er zwei Cousins erwähnt, die in F._______ zwei Hotels betreiben würden (vgl. Protokoll EVZ S. 2 und Protokoll Anhörung vom 12. Juni 2009 S. 11). Sodann leben ein Angehöriger in Deutschland und ein Cousin in der Schweiz. Vor diesem Hintergrund ist davon auszugehen, dass der Beschwerdeführer bei der Rückkehr in die Türkei mit entsprechender Hilfe von verwandtschaftlicher Seite rechnen kann. Es ist ihm daher zuzumuten, in seinen Heimatstaat zurückzukehren, wobei er aufgrund der grundsätzlichen Niederlassungsfreiheit den Ort der künftigen Wohnsitznahme frei wird wählen können.</w:t>
      </w:r>
    </w:p>
    <w:p>
      <w:r>
        <w:rPr>
          <w:b/>
        </w:rPr>
        <w:t>E. 8.4.3</w:t>
      </w:r>
    </w:p>
    <w:p>
      <w:r>
        <w:t>Nach dem Gesagten erweist sich der Vollzug der Wegweisung somit auch als zumutbar.</w:t>
      </w:r>
    </w:p>
    <w:p>
      <w:r>
        <w:rPr>
          <w:b/>
        </w:rPr>
        <w:t>E. 8.5</w:t>
      </w:r>
    </w:p>
    <w:p>
      <w:r>
        <w:t>Schliesslich obliegt es dem Beschwerdeführer, sich bei der zuständigen Vertretung des Heimatstaates die für eine Rückkehr notwendigen Reisedokumente zu beschaffen (Art. 8 Abs. 4 AsylG; vgl. dazu auch BVGE 2008/34 E. 12 S. 513 ff.),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mit dem in gleicher Höhe geleisteten Kostenvorschuss zu verrechnen und damit bereits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