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E-6751/2019 vom 20. Januar 2020</w:t>
      </w:r>
    </w:p>
    <w:p>
      <w:r>
        <w:t>Bundesverwaltungsgericht, 2020-01-20, DE</w:t>
      </w:r>
    </w:p>
    <w:p>
      <w:r>
        <w:rPr>
          <w:b/>
        </w:rPr>
        <w:t xml:space="preserve">Quelle: </w:t>
      </w:r>
      <w:r>
        <w:t>https://mcp.opencaselaw.ch/entscheid/bvger_E-6751_2019</w:t>
      </w:r>
    </w:p>
    <w:p>
      <w:r>
        <w:t>FR: TAF E-6751/2019 du 20 janvier 2020</w:t>
      </w:r>
    </w:p>
    <w:p>
      <w:r>
        <w:t>IT: TAF E-6751/2019 del 20 gennaio 2020</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(aArt. 108 Abs. 1 AsylG und Art. 52 Abs. 1 VwVG) ist einzutreten.</w:t>
      </w:r>
    </w:p>
    <w:p>
      <w:r>
        <w:rPr>
          <w:b/>
        </w:rPr>
        <w:t>E. 2</w:t>
      </w:r>
    </w:p>
    <w:p>
      <w:r>
        <w:t>Die Korrespondenz mit dem Beschwerdeführer und das vorliegende Urteil erfolgen wie beantragt in deutscher Sprache.</w:t>
      </w:r>
    </w:p>
    <w:p>
      <w:r>
        <w:rPr>
          <w:b/>
        </w:rPr>
        <w:t>E. 3</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6.1</w:t>
      </w:r>
    </w:p>
    <w:p>
      <w:r>
        <w:t>Die Vorinstanz kam in der angefochtenen Verfügung zum Schluss, die Vorbringen des Beschwerdeführers seien gemäss Art. 3 AsylG nicht asylrelevant.</w:t>
      </w:r>
    </w:p>
    <w:p>
      <w:r>
        <w:rPr>
          <w:b/>
        </w:rPr>
        <w:t>E. 6.2</w:t>
      </w:r>
    </w:p>
    <w:p>
      <w:r>
        <w:t>Der Beschwerdeführer habe vorgebracht, er befürchte die Einberufung in den Militärdienst. Dazu sei festzuhalten, dass eine Wehrdienstverweigerung alleine die Flüchtlingseigenschaft nicht zu begründen vermöge. Eine Analyse verschiedener Quellen ergebe ferner, dass das Regime nicht per se allen Dienstverweigerern eine regimefeindliche Haltung zuschreibe. Eine Strafe wegen Dienstverweigerung, welche die Voraussetzungen von Art. 3 AsylG erfülle, habe nur jemand zu befürchten, der zusätzliche Faktoren erfülle. Der Beschwerdeführer habe kein politisches Profil, womit er die Voraussetzungen für die Zuerkennung der Flüchtlingseigenschaft nicht erfülle. Da nicht ausgeschlossen werden könne, dass er bei einer Rückkehr einer Strafe ausgesetzt wäre, die gegen Art. 3 EMRK verstossen würde, sei er wegen Unzulässigkeit des Vollzugs der Wegweisung vorläufig aufzunehmen.</w:t>
      </w:r>
    </w:p>
    <w:p>
      <w:r>
        <w:rPr>
          <w:b/>
        </w:rPr>
        <w:t>E. 7.1</w:t>
      </w:r>
    </w:p>
    <w:p>
      <w:r>
        <w:t>In seiner Rechtsmitteleingabe brachte der Beschwerdeführer zunächst vor, die Dolmetscherin habe ihn an der Anhörung nicht gut verstehen können und habe sich oft an den Kopf gefasst. Der Beschwerdeführer erklärte dazu nichts weiter und stützte dieses Vorbringen auch nicht mit Beispielen oder Hinweisen auf Textstellen im Protokoll. Dem Protokoll der Anhörung sind keinerlei Hinweise dafür zu entnehmen, dass es bei der Verständigung zwischen der Dolmetscherin und dem Beschwerdeführer Probleme gegeben hätte. Der Beschwerdeführer hat die ihm gestellten Fragen jeweils beantwortet und bei der Rückübersetzung keine Korrekturen angebracht. Auch der an der Anhörung mitwirkende Hilfswerksvertreter hat keinerlei Anmerkungen gemacht. Unter diesen Voraussetzungen kann für die Beurteilung auf das Anhörungsprotokoll abgestellt werden.</w:t>
      </w:r>
    </w:p>
    <w:p>
      <w:r>
        <w:rPr>
          <w:b/>
        </w:rPr>
        <w:t>E. 7.2</w:t>
      </w:r>
    </w:p>
    <w:p>
      <w:r>
        <w:t>Nach Prüfung der Akten gelangt das Gericht zum Schluss, dass die Vorinstanz in ihren Erwägungen zur zutreffenden Erkenntnis gelangt ist, die Vorbringen des Beschwerdeführers seien nicht asylrelevant. Was in der Beschwerde dagegen vorgebracht wird, ist nicht geeignet, die vorinstanzliche Beurteilung umzustossen. Auf die Feststellungen der Vorinstanz kann unter Berücksichtigung der nachfolgenden ergänzenden Erwägungen verwiesen werden.</w:t>
      </w:r>
    </w:p>
    <w:p>
      <w:r>
        <w:rPr>
          <w:b/>
        </w:rPr>
        <w:t>E. 7.3</w:t>
      </w:r>
    </w:p>
    <w:p>
      <w:r>
        <w:t>Soweit in der Beschwerde allgemeine Ausführungen zum Militärdienst und zur Lage in Syrien gemacht werden, vermag der Beschwerdeführer daraus nichts für sich abzuleiten. Zum Militärdienst ist festzuhalten, dass das Bundesverwaltungsgericht in seinem Grundsatzurteil BVGE 2015/3 (insbesondere E. 5) festgestellt hat, eine Wehrdienstverweigerung oder Desertion vermöge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Den Akten lassen sich vorliegend keine Anhaltspunkte für gezielte Verfolgungsmassnahmen der syrischen Behörden im Sinne von Art. 3 Abs. 1 AsylG gegen den Beschwerdeführer entnehmen. Er entstammt weder einer oppositionellen Familie noch ist er selbst regimekritisch tätig gewesen. Soweit er in der Beschwerde vorbringt, er habe sich aus politischer Überzeugung dem Militärdienst entzogen, hat sich diese Gesinnung bisher nicht nach aussen manifestiert. Der Beschwerdeführer gab im vorinstanzlichen Verfahren an, er sei nicht politisch aktiv gewesen (SEM-Akte A7/12 Ziff. 7.02). Ein politisches Profil ergibt sich auch aus seinen Aussagen anlässlich der Anhörung nicht. Zudem verneinte der Beschwerdeführer, auch je sonstige Probleme mit den syrischen Behörden gehabt zu haben (SEM-Akte A7/12 Ziff. 7.02). Es ist damit nicht davon auszugehen, dass er bereits vor seiner Ausreise und vor der Einberufung in den Militärdienst die Aufmerksamkeit der staatlichen syrischen Sicherheitskräfte auf sich gezogen hat und er als politischer Gegner betrachtet würde. Eine begründete Furcht des Beschwerdeführers vor asylrelevanten Verfolgungsmassnahmen seitens der syrischen Behörden vor seiner Ausreise ist zu verneinen.</w:t>
      </w:r>
    </w:p>
    <w:p>
      <w:r>
        <w:rPr>
          <w:b/>
        </w:rPr>
        <w:t>E. 7.4</w:t>
      </w:r>
    </w:p>
    <w:p>
      <w:r>
        <w:t>Was den Hinweis auf die kürzlich erfolgte Militäroffensive im Nordosten Syriens betrifft, trifft es zu, dass die Lage in Syrien als in jeglicher Hinsicht volatil zu bezeichnen ist. Unter flüchtlingsrechtlichen Aspekten ist daraus indes nichts zu Gunsten des Beschwerdeführers abzuleiten. Einer allfälligen Gefährdung des Beschwerdeführers im heutigen Zeitpunkt aufgrund der aktuellen Situation in Syrien ist mit der Anordnung der vorläufigen Aufnahme bereits Rechnung getragen worden.</w:t>
      </w:r>
    </w:p>
    <w:p>
      <w:r>
        <w:rPr>
          <w:b/>
        </w:rPr>
        <w:t>E. 7.5</w:t>
      </w:r>
    </w:p>
    <w:p>
      <w:r>
        <w:t>Soweit der Beschwerdeführer vorbringt, er habe in der Schweiz an einer Kundgebung teilgenommen und dabei ein Plakat/Spruchband getragen, ist festzustellen, dass er an der Anhörung dazu aussagte, er habe zweimal an Demonstrationen mitgemacht. Es sei nichts Besonderes gewesen. Ihm sei ein Spruchband gegeben worden, welches er hochgehoben habe (SEM-Akte A16/12 F61 f.). Aus dieser Antwort geht klar hervor, dass der Beschwerdeführer weder aus eigenem Antrieb politisch aktiv ist noch eine besondere Funktion einnimmt. Dass die syrischen Behörden darüber Bescheid wissen, erscheint wenig wahrscheinlich. Darüber hinaus ist sein Engagement als sehr niederschwellig zu bezeichnen, weshalb die syrischen Behörden ihn als blossen Mitläufer wahrnehmen würden, falls er identifiziert worden wäre. Es ist nicht davon auszugehen, dass sich das Engagement des Beschwerdeführers seither massgeblich verändert beziehungsweise verstärkt hat, zumal er in der Beschwerde nichts Entsprechendes vorbringt. Vor diesem Hintergrund ist der in der Beschwerde gestellte Antrag auf eine angemessene Frist zur Einreichung entsprechender Beweismittel in antizipierter Beweiswürdigung abzuweisen.</w:t>
      </w:r>
    </w:p>
    <w:p>
      <w:r>
        <w:rPr>
          <w:b/>
        </w:rPr>
        <w:t>E. 7.6</w:t>
      </w:r>
    </w:p>
    <w:p>
      <w:r>
        <w:t>Soweit der Beschwerdeführer vorbringt, das SEM habe in anderen Fällen asylsuchende syrische Staatsangehörige nur aufgrund der illegalen Ausreise aus ihrem Heimatstaat als Flüchtlinge anerkannt, weshalb ihm aus Gründen der Rechtsgleichheit ebenfalls die Flüchtlingseigenschaft zuzuerkennen sei, ist festzuhalten, dass die Verwaltungsbehörde stets Einzelfälle zu beurteilen hat. Der Umstand, dass in Fällen mit ähnlich erscheinenden Eckdaten unterschiedliche Entscheide getroffen wurden, lässt noch nicht auf eine Ungleichbehandlung schliessen. Eine allgemeine Praxis, wonach bei einer geltend gemachten illegalen Ausreise die Flüchtlingseigenschaft zu bejahen ist, existiert nicht. Die illegale Ausreise aus Syrien kann per se praxisgemäss keine flüchtlingsrechtliche Relevanz entfalten, sofern keine Verfolgungssituation im Sinne von Art. 3 AsylG und keine besondere individuelle Vorbelastung vorliegen (vgl. zur Praxis des BVGer betreffend die illegale Ausreise aus Syrien u.a. Urteile des BVGer D-4666/2019 vom 26. November 2019 E.7.5, E-5587/2017 vom 5. Dezember 2017 E. 6.4, E-3692/2016 vom 13. Oktober 2017 E. 4.7, je m.w.H.).</w:t>
      </w:r>
    </w:p>
    <w:p>
      <w:r>
        <w:rPr>
          <w:b/>
        </w:rPr>
        <w:t>E. 7.7</w:t>
      </w:r>
    </w:p>
    <w:p>
      <w:r>
        <w:t>Demnach hat das SEM die Flüchtlingseigenschaft des Beschwerdeführers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w:t>
      </w:r>
    </w:p>
    <w:p>
      <w:r>
        <w:t>Der Vollzug der Wegweisung wurde zugunsten einer vorläufigen Aufnahme aufgeschoben. Der Beschwerdeführer verfügt damit über ein vorübergehendes Bleiberecht in der Schweiz. Diese Massnahme entsprechend der Dispositivziffer 4 (bzw. Ziff. 10) der angefochtenen Verfügung hat nach wie vor Bestand.</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Angesichts des Umstands, dass sich die Rechtsbegehren als aussichtslos erwiesen haben, ist das Gesuch um Gewährung der unentgeltlichen Rechtspflege im Sinne von Art. 65 Abs. 1 VwVG abzuweisen. Das Gesuch um Verzicht auf die Erhebung eines Kostenvorschusses wird mit dem vorliegenden Urteil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