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E-6746/2013 vom 12. Dezember 2013</w:t>
      </w:r>
    </w:p>
    <w:p>
      <w:r>
        <w:t>Bundesverwaltungsgericht, 2013-12-12, DE</w:t>
      </w:r>
    </w:p>
    <w:p>
      <w:r>
        <w:rPr>
          <w:b/>
        </w:rPr>
        <w:t xml:space="preserve">Quelle: </w:t>
      </w:r>
      <w:r>
        <w:t>https://mcp.opencaselaw.ch/entscheid/bvger_E-6746_2013</w:t>
      </w:r>
    </w:p>
    <w:p>
      <w:r>
        <w:t>FR: TAF E-6746/2013 du 12 décembre 2013</w:t>
      </w:r>
    </w:p>
    <w:p>
      <w:r>
        <w:t>IT: TAF E-6746/2013 del 12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Frist zur Beschwerdeerhebung (Art. 108 Abs. 1 AsylG) wurde mit der Eingabe vom 4. November 2013 gewahrt (Art. 21 Abs. 2 VwVG). Auf die formgerecht erhobene Beschwerde vom 29. November 2013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des Beschwerdeführers hielten insgesamt den Anforderungen an das Glaubhaftmachen gemäss Art. 7 AsylG nicht stand. Die Angaben zum Herkunftsort seien unsubstantiiert und die zu den Akten gereichte irakische Identitätskarte und der Nationalitätenausweis wiesen zahlreiche objektive Fälschungsmerkmale auf. Die LINGUA-Analyse komme zudem zum Schluss, dass der Beschwerdeführer mit Sicherheit nicht aus Mosul, sondern mit überwiegender Wahrscheinlichkeit aus der Umgebung von Zaxo (Zakho), Provinz Dohuk, Nordirak, stamme. Des Weiteren mangelten seine Schilderungen zum Fluchtgrund an Logik und Details und seien somit unglaubhaft. Dasselbe gelte für die geltend gemachte armenisch-christliche Religionszugehörigkeit und die Aussagen bezüglich des Fluchtweges in die Schweiz.</w:t>
      </w:r>
    </w:p>
    <w:p>
      <w:r>
        <w:rPr>
          <w:b/>
        </w:rPr>
        <w:t>E. 4.2</w:t>
      </w:r>
    </w:p>
    <w:p>
      <w:r>
        <w:t>Der Beschwerdeführer legt in seiner Beschwerde nicht dar, inwiefern die vorinstanzliche Beweiswürdigung Bundesrecht verletzen oder zu einer fehlerhaften Sachverhaltsfeststellung führen soll. Solches ist auch nicht ersichtlich. Die Vorinstanz hat einlässlich begründet, weshalb die Vorbringen im Einzelnen unglaubhaft ausgefallen sind, und dabei den Massstab des Glaubhaftmachens nicht verkannt. Um Wiederholungen zu vermeiden, kann vollumfänglich auf die Ausführungen der Vorinstanz verwiesen werden.</w:t>
      </w:r>
    </w:p>
    <w:p>
      <w:r>
        <w:rPr>
          <w:b/>
        </w:rPr>
        <w:t>E. 4.3</w:t>
      </w:r>
    </w:p>
    <w:p>
      <w:r>
        <w:t>Die Vorbringen des Beschwerdeführers sind daher nicht geeignet, die Flüchtlingseigenschaft nachzuweisen oder zumindest glaubhaft zu machen.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vom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in den Nordirak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erachtet aufgrund der beiden LINGUA-Analysen die Herkunft des Beschwerdeführers aus der Provinz Dohuk im Nordirak als überwiegend wahrscheinlich und bejaht die Zumutbarkeit des Wegweisungsvollzugs in die Provinz im kurdisch kontrollierten Nordirak, wo keine Situation allgemeiner Gewalt herrsche. Zudem handle es sich beim Beschwerdeführer um einen volljährigen, gesunden und alleinstehenden Mann. Es sei entgegen seinen unglaubhaften Aussagen bezüglich seiner angeblichen Herkunft davon auszugehen, dass er über ein soziales Netzwerk im Nordirak verfüge, welches ihm bei der Reintegration behilflich sein könne. Der Beschwerdeführer bringt vor, die momentane Lage im Irak, insbesondere Mosul, sei unsicher und eine Ausweisung gefährde seine Sicherheit. Dies gelte aufgrund des Konfliktes in Syrien auch für die nördlichen Provinzen des Iraks. Er habe sich in der Schweiz integriert und seine Deutschkenntnisse seien gut. Im August 2013 habe er eine einjährige Vorlehre als (...) erfolgreich abgeschlossen und auch seine Schulzeugnisse der Berufsschule seien mehr als zufriedenstellend. Er habe in seiner Heimat keine Perspektiven. Die Situation belaste ihn psychisch sehr. Bezüglich der drei nordirakischen Provinzen (Arbil, Dohuk und As-Sulaimaniyya) hat das Bundesverwaltungsgericht mit Urteil E-4243/2007 vom 14. März 2008 (vgl. auch Grundsatzurteil des Bundesverwaltungsgerichts 2008/4 vom 22. Januar 2008) entschieden, dass dort keine Lage allgemeiner Gewalt herrsche und der Wegweisungsvollzug in diese Provinzen grundsätzlich zumutbar ist, sofern die betroffene Person über ein soziales Netz in besagter Region verfüge, welches ihr bei der Reintegration behilflich sei (E. 7.5). Vorliegend fallen insbesondere die zwei von unterschiedlichen Experten durchgeführten LINGUA-Analysen vom 15. Februar 2012 sowie vom 20. Februar 2012 (BFM-Akten, A16/9) schwer ins Gewicht. Beide kamen unabhängig voneinander zum Ergebnis, dass der Beschwerdeführer definitiv nicht aus Mosul, sondern mit überwiegender Wahrscheinlichkeit aus der Umgebung der Stadt Zaxo (Zakho), Provinz Dohuk, Nordirak, stamme. Anlässlich der Gewährung des rechtlichen Gehörs vermochte der Beschwerdeführer die Zweifel bezüglich seiner angeblichen Herkunft nicht zu beseitigen. Ebenso wenig bieten die Qualifikationen der eingesetzten LINGUA-Experten Grund zur Beanstandung. Solches wird auch nicht geltend gemacht. Der Schluss der Vorinstanz, der Beschwerdeführer stamme aus dem Nordirak (wahrscheinlich Dohuk) und verfüge dort über ein soziales Netz, weshalb dem Wegweisungsvollzug kein Hindernis entgegen stehe, verletzt somit kein Bundesrecht. Die Integration des Beschwerdeführers ist für die Zumutbarkeit des Wegweisungsvollzugs nicht von Belang (vgl. Urteil des Bundesverwaltungsgerichts D-4001/2006 vom 4. Juni 2007 E. 3.3). Wie die Vorinstanz zutreffend ausführt, ist aufgrund der LINGUA-Analysen davon auszugehen, dass er im Nordirak sozialisiert worden ist und dort über ein Beziehungsnetz verfügt. Beim Beschwerdeführer handelt es sich um einen jungen, gesunden und alleinstehenden Mann. Die psychische Belastung ist nicht belegt und ungeeignet, den Vollzug der Wegweisung zu hindern. Der Wegweisungsvollzug ist zumutbar.</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und 5 VwVG) und auf insgesamt Fr. 600.--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