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E-6742/2014 vom 16. Juni 2015</w:t>
      </w:r>
    </w:p>
    <w:p>
      <w:r>
        <w:t>Bundesverwaltungsgericht, 2015-06-16, DE</w:t>
      </w:r>
    </w:p>
    <w:p>
      <w:r>
        <w:rPr>
          <w:b/>
        </w:rPr>
        <w:t xml:space="preserve">Quelle: </w:t>
      </w:r>
      <w:r>
        <w:t>https://mcp.opencaselaw.ch/entscheid/bvger_E-6742_2014</w:t>
      </w:r>
    </w:p>
    <w:p>
      <w:r>
        <w:t>FR: TAF E-6742/2014 du 16 juin 2015</w:t>
      </w:r>
    </w:p>
    <w:p>
      <w:r>
        <w:t>IT: TAF E-6742/2014 del 16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Entscheid damit, dass die länderspezifischen Antworten des Beschwerdeführers insgesamt nicht überzeugen würden. Durch das ausweichende Antwortverhalten komme die Vermutung auf, dass er sich zwar auf einzelne Bereiche der länderspezifischen Anhörung vorbereitet habe, jedoch aufgrund der tatsächlichen Sozialisierung in einem anderen Raum nicht zur vollständigen Beantwortung sämtlicher Fragen in der Lage sei. Des Weiteren habe er sich zum Verbleib seiner nächsten Verwandten widersprüchlich geäussert und bei der BzP angegeben, dass sein Vater verstorben sei, wogegen er bei der Anhörung gemeint habe, dieser habe mit ihm, seiner Mutter, seinem Bruder und dessen Frau und Kind in einem Haushalt zusammengelebt. Unglaubhaft sei auch die bis anhin unterlassene Kontaktaufnahme zu seiner Familie, und die einhergehende fehlende Papierbeschaffung sei als Verletzung seiner Mitwirkungspflicht zu erachten. Er sei ferner nicht in der Lage gewesen, seine fehlenden Chinesischkenntnisse glaubhaft zu begründen oder das chinesische Schulsystem zu beschreiben. Die Einschätzung, dass er nicht in der von ihm geltend gemachten Region gelebt habe, werde durch die oberflächliche und detailarme Beschreibung der Ausreise bestärkt. Auch die geltend gemachten Asylvorbringen würden den Anforderungen an die Glaubhaftmachung gemäss Art. 7 AsylG nicht standhalten. Es sei dem Beschwerdeführer nicht gelungen, seine Hauptsozialisierung in der Volksrepublik China sowie seine Asylgründe glaubhaft darzulegen. Vielmehr sei mit überwiegender Wahrscheinlichkeit davon auszugehen, dass er vor seiner Ankunft in der Schweiz nicht in der Volksrepublik China, sondern in der exiltibetischen Diaspora gelebt habe. Da er aber keine konkreten, glaubhaften Hinweise auf einen längeren Aufenthalt in einen Drittstaat geliefert habe, bestünden keine flüchtlings- oder wegweisungsbeachtliche Gründe gegen eine Rückkehr an den bisherigen Aufenthaltsort (BVGE E-2981/2012 E. 5. 8 bis 5. 10). Den Vollzug der Wegweisung - mit Ausnahme in die Volksrepublik China - erachtete das BFM als zulässig, zumutbar und möglich. Die Prüfung die­ser Kriterien sei zwar von Amtes wegen vorzunehmen. Verletze aber eine asylsuchende Person - wie vorliegend - ihre Mitwirkungspflicht in gro­ber Weise, sei diese Überprüfung praxisgemäss eingeschränkt. Eine re­levante Gefährdung vor Ort sei nicht ersichtlich.</w:t>
      </w:r>
    </w:p>
    <w:p>
      <w:r>
        <w:rPr>
          <w:b/>
        </w:rPr>
        <w:t>E. 4.2</w:t>
      </w:r>
    </w:p>
    <w:p>
      <w:r>
        <w:t>Der Beschwerdeführer begründete seine Beschwerde damit, sämtliche seiner Vorbringen seien schlüssig. Sollte er gewisse Fragen zurückhaltend beantwortet haben, so liege es daran, dass er sich nur auf die gestellten Fragen konzentriert habe und nicht habe abschweifen wollen, da er angewiesen worden sei, sich kurz zu halten. Er habe sehr ausführlich über die von ihm täglich verrichteten Arbeiten im Tibet zu berichten vermocht. Seine Familie habe die Erträge aus der Feldarbeit und der Tierhaltung entgegen den Ausführungen des BFM ausschliesslich für den Eigenverbrauch genutzt. Zusätzliches Gemüse hätten sie - aus dem durch den Verkauf von gesammelten Raupenpilzen erzielten Entgelt - auf dem Markt gekauft. Für die Bewohner seines Dorfes sei die amtliche Bezeichnung der Hauptstrasse nicht von Bedeutung, da es nur eine Hauptstrasse im Dorf gebe. Er vermöge sich an die Postleitzahl seiner Präfektur gut zu erinnern, habe er doch im Jahr 1998 - und nicht wie fälschlicherweise vom BFM angenommen 1989 - eine Identitätskarte erhalten. Auch habe seine Schwägerin gelegentlich Post von ihren Verwandten bekommen. Die Dauer zum Zurücklegen der Distanz zum Bezirkshauptort habe er widerspruchslos angegeben, da er einmal von einer Fahrt und das andere Mal vom Zurücklegen zu Fuss gesprochen habe. Er habe kaum Kontakt zu chinesisch sprechenden Menschen gehabt, hätten doch in seinem Dorf bloss 25 Familien gewohnt. Er sei mit Hilfe des Sherpas über den sichereren Landweg geflüchtet, wobei er die Grenze zu Nepal nachts überschritten und daher keine Erinnerung an die Umgebung habe. Sofern ihn das BFM auf die angeblichen Widersprüche angesprochen hätte, wäre es ihm ohne Weiteres möglich gewesen, diese aufzulösen. Seine Asylvorbringen seien ebenfalls schlüssig vorgebracht worden, weshalb sein Asylgesuch gutzuheissen sei. Zumindest sei er in der Schweiz vorläufig aufzunehmen, da eine Rückkehr nach Tibet gemäss Praxis des angerufenen Gerichts aufgrund seiner illegalen Ausreise nicht in Frage käme.</w:t>
      </w:r>
    </w:p>
    <w:p>
      <w:r>
        <w:rPr>
          <w:b/>
        </w:rPr>
        <w:t>E. 4.3</w:t>
      </w:r>
    </w:p>
    <w:p>
      <w:r>
        <w:t>In seiner Vernehmlassung vom 4. Dezember 2014 entgegnete das BFM, die Verrichtung von Feldarbeit könne herkunftsungebunden ausgeführt werden, weshalb die Kenntnisse des Beschwerdeführers keinen Hinweis auf seine Sozialisierungsregion geben würden. Das Standardvorbringen hinsichtlich der Raupenpilze vermöge keine persönliche Erfahrung zu belegen. Bei der angeblich falsch angeführten Jahreszahl handle es sich um einen - vom Beschwerdeführer bestätigten - Protokollfehler; im Übrigen hätte auch die Jahresangabe 1998 nichts an den Einschätzungen in der angefochtenen Verfügung geändert. Der Beschwerdeführer habe die Fragen betreffend die Identitätskarte tatsachenwidrig beantwortet, weshalb auch die angeblich detaillierten Aussagen nichts an der Einschätzung in der angefochtenen Verfügung zu ändern vermöge.</w:t>
      </w:r>
    </w:p>
    <w:p>
      <w:r>
        <w:rPr>
          <w:b/>
        </w:rPr>
        <w:t>E. 4.4</w:t>
      </w:r>
    </w:p>
    <w:p>
      <w:r>
        <w:t>Der Beschwerdeführer brachte in seiner Replik vor, der ganze Aufwand des BFM scheine darauf ausgerichtet zu sein, ihn als unglaubhaft hinzustellen, anstatt den tatsächlichen Sachverhalt zu erstellen. In der von ihm zu den Akten gereichten Kopie des Familienbüchleins sei er auf der fünften Seite aufgeführt, wobei auf der gegenüberliegenden Seite - als Folge seiner Flucht - vermerkt worden sei, dass er seit dem 22. Dezember 2012 ausgetragen sei. Es sei nicht möglich, das Familienbüchlein im Original zuzustellen, da dies für seine Familie ein viel zu hohes Risiko darstellen würde.</w:t>
      </w:r>
    </w:p>
    <w:p>
      <w:r>
        <w:rPr>
          <w:b/>
        </w:rPr>
        <w:t>E. 4.5</w:t>
      </w:r>
    </w:p>
    <w:p>
      <w:r>
        <w:t>Das SEM hielt in seiner Vernehmlassung vom 2. Februar 2015 fest, Kopien von Dokumenten hätten aufgrund der einfachen Fälschbarkeit prinzipiell keinen Beweiswert, weswegen die eingereichten Seiten des Familienbüchleins nicht geeignet seien, die chinesische Staatsangehörigkeit des Beschwerdeführers zu belegen. Zudem habe er keinen rechtsgenüglichen Ausweis mit persönlichem Lichtbild eingereicht, weswegen sich seine angegebenen Personalien nicht überprüfen lassen würden. Es erwecke zudem Erstaunen, dass seine Ausreise im Familienbüchlein als Wohnsitzwechsel vermerkt sein sollte, sei er doch eigenen Angaben zufolge illegal aus China geflüchtet.</w:t>
      </w:r>
    </w:p>
    <w:p>
      <w:r>
        <w:rPr>
          <w:b/>
        </w:rPr>
        <w:t>E. 4.6</w:t>
      </w:r>
    </w:p>
    <w:p>
      <w:r>
        <w:t>In seiner Stellungnahme vom 16. Februar 2015 entgegnete der Beschwerdeführer, seine Ausreise sei erst im Nachhinein im Familienbüchlein festgehalten worden. Natürlich habe er sich im Vorfeld nicht abgemeldet, aber seine Abwesenheit sei von der chinesischen Regierung bemerkt worden, weshalb diese Notiz selbstverständlich sei.</w:t>
      </w:r>
    </w:p>
    <w:p>
      <w:r>
        <w:rPr>
          <w:b/>
        </w:rPr>
        <w:t>E. 5.1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w:t>
      </w:r>
    </w:p>
    <w:p>
      <w:r>
        <w:rPr>
          <w:b/>
        </w:rPr>
        <w:t>E. 5.2.1</w:t>
      </w:r>
    </w:p>
    <w:p>
      <w:r>
        <w:t>Das Bundesverwaltungsgericht hat im zur Publikation vorgesehenen Urteil E-3361/2014 vom 6. Mai 2015 festgestellt, dass das SEM vor einiger Zeit eine neue Methode der Herkunftsabklärung für Asylsuchende tibetischer Ethnie eingeführt hat. Dabei wird nicht mehr eine Analyse der Fachstelle Lingua (sprachliche Analyse oder Lingua-Alltags­wissensevaluation) durchgeführt,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 m.w.H.).</w:t>
      </w:r>
    </w:p>
    <w:p>
      <w:r>
        <w:rPr>
          <w:b/>
        </w:rPr>
        <w:t>E. 5.2.2</w:t>
      </w:r>
    </w:p>
    <w:p>
      <w:r>
        <w:t>Bei Abklärungen des Länder- und Alltagswissens von Asylsuchenden an der einlässlichen Anhörung müssen zudem den Akten Informationen entnommen werden können, die es dem Gericht erlauben, zuverlässig zu ermitteln, inwiefern die asylsuchende Person hinreichende Angaben über das behauptete Herkunftsland machen konnte. Da bei dieser neuen Methode der Vorinstanz kein amtsexterner Sachverständiger mehr mitwirkt, sind die zutreffenden Antworten - unter Einhaltung der hier üblichen Standards - mit Informationen zum Herkunftsland (Country of Origin Information, COI) zu belegen (vgl. a.a.O. E. 5.2.2.1 f. m.w.H.).</w:t>
      </w:r>
    </w:p>
    <w:p>
      <w:r>
        <w:rPr>
          <w:b/>
        </w:rPr>
        <w:t>E. 5.2.3</w:t>
      </w:r>
    </w:p>
    <w:p>
      <w:r>
        <w:t>Der wesentliche Inhalt der Herkunftsanalyse muss der betroffenen Person sodann zur rechtsgenüglichen Gewährung der Akteneinsicht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5.2.2.3 f. m.w.H.).</w:t>
      </w:r>
    </w:p>
    <w:p>
      <w:r>
        <w:rPr>
          <w:b/>
        </w:rPr>
        <w:t>E. 5.3</w:t>
      </w:r>
    </w:p>
    <w:p>
      <w:r>
        <w:t>Vorliegend ist die Vorinstanz ihrer Untersuchungspflicht in Bezug auf ihre neu eingeführte Methode der Herkunftsabklärung für Asylsuchende tibetischer Ethnie nicht nachgekommen, und sie hat auch die umschriebenen Mindeststandards betreffend Gewährung des rechtlichen Gehörs nicht eingehalten:</w:t>
      </w:r>
    </w:p>
    <w:p>
      <w:r>
        <w:rPr>
          <w:b/>
        </w:rPr>
        <w:t>E. 5.3.1</w:t>
      </w:r>
    </w:p>
    <w:p>
      <w:r>
        <w:t>Die Antworten des Beschwerdeführers auf Fragen zum Länder- und Alltagswissen sind nicht derart unplausibel, substanzarm oder widersprüchlich ausgefallen, dass sie seine Herkunft aus Tibet bereits offensichtlich ausschlössen und sich weitere fachliche Abklärungen somit erübrigt hätten. Er war anlässlich der Anhörung teilweise durchaus in der Lage, das Bild einer Person, welche mit den Gegebenheiten vor Ort in einem gewissen Ausmass vertraut ist, zu vermitteln (vgl. A 12/15 Antworten 14 ff.). Auch lässt sich alleine aufgrund seiner Angaben zu den Asylgründen, zum Reiseweg und zu den fehlenden Identitätspapieren nicht ableiten, dass er nicht aus dem angegebenen tibetischen Dorf stammt. Würden nämlich bereits diese Angaben alleine eine Herkunft aus Tibet/China ausschliessen, erübrigten sich weitere fachliche Abklärungen bezüglich des Länder- und Alltagswissens des Beschwerdeführers ebenfalls, da dann gar nicht auf seine Angaben im Rahmen der Herkunftsabklärung abgestellt werden müsste (vgl. a.a.O. E. 6.1).</w:t>
      </w:r>
    </w:p>
    <w:p>
      <w:r>
        <w:rPr>
          <w:b/>
        </w:rPr>
        <w:t>E. 5.3.2</w:t>
      </w:r>
    </w:p>
    <w:p>
      <w:r>
        <w:t>Wie erwähnt muss aus den Akten nicht nur in für das Gericht nachvollziehbarer Weise hervorgehen, welche Fragen die Vorinstanz dem Beschwerdeführer gestellt hat und wie dieser darauf geantwortet hat, sondern auch, welche Fragen wie hätten beantwortet werden müssen und weshalb in Tibet sozialisierte Personen in einer vergleichbaren Situation wie der Beschwerdeführer die zutreffenden Antworten hätten kennen sollen. Solche Hinweise beziehungsweise entsprechende Akten fehlen im vorinstanzlichen Dossier. Es ist festzuhalten, dass dem Protokoll zur Anhörung zwar die gestellten Fragen und die Antworten des Beschwerdeführers entnommen werden können. Allerdings enthalten die Akten keinerlei Ausführungen zu den vom BFM als unkorrekt erachteten Antworten, geschweige denn zu den Quellen, an denen sich die Befragungsperson zwecks Beurteilung der Erklärungen des Beschwerdeführers orientiert hat. Das Befragungsprotokoll erlaubt wiederholt nicht einmal eindeutige Rückschlüsse darauf, ob der Beschwerdeführer Fragen in zulänglicher Weise beantwortet hat beziehungsweise, wenn er die Antwort nicht wusste, ob und weshalb er diese hätte kennen sollen (vgl. beispielsweise A 12/15 F35, F66, F84, F85 f.).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ernsthaften, sorgfältigen und vollständigen Abklärung der Vorbringen des Beschwerdeführers sowie aller weiteren rechtsrelevanten Sachumstände vorliegend tatsächlich nachgekommen ist (vgl. a.a.O. E. 6.2.1).</w:t>
      </w:r>
    </w:p>
    <w:p>
      <w:r>
        <w:rPr>
          <w:b/>
        </w:rPr>
        <w:t>E. 6.1</w:t>
      </w:r>
    </w:p>
    <w:p>
      <w:r>
        <w:t>Nach dem Gesagten steht fest, dass das BFM sowohl den Anspruch des Beschwerdeführers auf Einräumung des rechtlichen Gehörs als auch den Untersuchungsgrundsatz verletzt hat.</w:t>
      </w:r>
    </w:p>
    <w:p>
      <w:r>
        <w:rPr>
          <w:b/>
        </w:rPr>
        <w:t>E. 6.2</w:t>
      </w:r>
    </w:p>
    <w:p>
      <w:r>
        <w:t>Eine Verletzung des rechtlichen Gehörs führt grundsätzlich - das heisst ungeachtet der materiellen Auswirkungen - zur Aufhebung des da­raufhin ergangenen Entscheides. Die Heilung einer Gehörsverletzung aus pro­zessökonomischen Gründen auf Beschwerdeebene kommt - unbesehen der Kognitionsbeschränkung der Beschwerdeinstanz - insbesondere auch deshalb nicht in Betracht, weil das BFM im Rahmen des vorliegenden Verfahrens eine neue Praxis anwandte, diese gemäss vorstehenden Erwägungen in der gehandhabten Form aber nicht als rechtsgenüglich gewertet werden kann und demzufolge vom SEM im Lichte der gerügten Mängel zu verbessern ist.</w:t>
      </w:r>
    </w:p>
    <w:p>
      <w:r>
        <w:rPr>
          <w:b/>
        </w:rPr>
        <w:t>E. 7</w:t>
      </w:r>
    </w:p>
    <w:p>
      <w:r>
        <w:t>Die angefochtene Verfügung ist deshalb aufzuheben und die Sache im Sinne der Erwägungen an die Vorinstanz zurückzuweisen. Das SEM ist gehalten, gestützt auf den vollständig festgestellten rechtserheblichen Sachverhalt beziehungsweise unter Wahrung der Gehörsansprüche des Beschwerdeführers einen neuen Entscheid mit rechtsgenüglicher Begründung zu fällen. Bei dieser Sachlage kann mangels Relevanz davon abgesehen werden, auf weitere Beschwerdevorbringen näher einzugehen.</w:t>
      </w:r>
    </w:p>
    <w:p>
      <w:r>
        <w:rPr>
          <w:b/>
        </w:rPr>
        <w:t>E. 8.1</w:t>
      </w:r>
    </w:p>
    <w:p>
      <w:r>
        <w:t>Bei diesem Ausgang des Verfahrens sind - ungeachtet der Gutheissung des Gesuchs um unentgeltliche Prozessführung gemäss Verfügung der Instruktionsrichterin vom 26. November 2014 - keine Kosten zu erheben (Art. 63 Abs. 1 und 2 VwVG).</w:t>
      </w:r>
    </w:p>
    <w:p>
      <w:r>
        <w:rPr>
          <w:b/>
        </w:rPr>
        <w:t>E. 8.2</w:t>
      </w:r>
    </w:p>
    <w:p>
      <w:r>
        <w:t>Der ganz oder teilweise obsiegenden Partei ist eine Parteientschädigung für die ihr notwendigerweise erwachsenen Parteikosten zuzusprechen (Art. 64 Abs. 1 VwVG sowie Art. 7 des Reglements vom 21. Feb- ruar 2008 über die Kosten und Entschädigungen vor dem Bundesverwaltungsgericht [VGKE, SR 173.320.2]). Da dem nicht vertretenen Beschwerdeführer keine solchen Kosten entstanden sein dürften, ist keine 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