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E-6742/2013 vom 21. Februar 2014</w:t>
      </w:r>
    </w:p>
    <w:p>
      <w:r>
        <w:t>Bundesverwaltungsgericht, 2014-02-21, DE</w:t>
      </w:r>
    </w:p>
    <w:p>
      <w:r>
        <w:rPr>
          <w:b/>
        </w:rPr>
        <w:t xml:space="preserve">Quelle: </w:t>
      </w:r>
      <w:r>
        <w:t>https://mcp.opencaselaw.ch/entscheid/bvger_E-6742_2013</w:t>
      </w:r>
    </w:p>
    <w:p>
      <w:r>
        <w:t>FR: TAF E-6742/2013 du 21 février 2014</w:t>
      </w:r>
    </w:p>
    <w:p>
      <w:r>
        <w:t>IT: TAF E-6742/2013 del 21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Aus der Rechtsmitteleingabe ergibt sich als Rüge die Verletzung von Bundesrecht, indem zu Unrecht auf fehlende Asylrelevanz der Vorbringen der Beschwerdeführerinnen geschlossen worden sei.</w:t>
      </w:r>
    </w:p>
    <w:p>
      <w:r>
        <w:rPr>
          <w:b/>
        </w:rPr>
        <w:t>E. 5.2</w:t>
      </w:r>
    </w:p>
    <w:p>
      <w:r>
        <w:t>Vorweg kann zur Vermeidung von Wiederholungen vollumfänglich auf die vorinstanzlichen Erwägungen verwiesen werden, welchen sich das Gericht anschliesst. Das Bundesverwaltungsgericht hat sich im Urteil D-4592/2013 vom 8. Januar 2014 (mit zahlreichen Verweisen) selbst ausführlich zur rechtlichen und gesellschaftlichen Situation der türkischen Frauen im Allgemeinen sowie im Besonderen zu deren Schutz vor Übergriffen mit soziokulturellem Hintergrund bis hin zum Ehrenmord geäussert. Es hat festgestellt, dass heute von den 166 geschaffenen Familiengerichten 157 zugänglich seien. Weiter führte es aus, der Zugang zu den Gerichten sowie die Vollstreckung der Urteile seien für die klagende Partei kostenlos. Sodann sei bei der Revision des Strafgesetzbuches im Jahre 2004 der Strafrahmen für Strafen bei Taten gegen Frauen erhöht und die Strafmilderungsgründe seien bei Fällen von Ehrenmord und Vergewaltigung aufgehoben worden. Im Jahr 2012 hätten sodann 76 der 82 geplanten türkischen Frauenhäuser bestanden. Ferner habe die Türkei im Jahr 2011 eine europäische Konvention unterzeichnet, mit welcher der Europarat konkret gegen häusliche Gewalt vorgehen wolle, und im März 2012 sei ein Gesetz zum besseren Schutz von Frauen gegen häusliche Gewalt erlassen sowie ein Gesetz über die Verhütung von Gewalt gegen Frauen, vorbeugende Massnahmen gegen häusliche Gewalt und Missbrauch verabschiedet worden. Gestützt darauf seien 14 neue Zentren zur Gewaltprävention und Überwachung ( ÖNIM) geschaffen worden; weitere seien geplant. Die türkischen Frauen sind familiären Übergriffen nicht schutzlos ausgeliefert. Gemäss den vorstehenden Ausführungen gehen die türkischen Behörden offensichtlich gegen das Phänomen der Ehrenmorde vor und sind grundsätzlich in der Lage, Schutz zu gewähren. Sodann spricht nicht gegen den Schutzwillen und die Schutzfähigkeit eines Staates, wenn die zuständigen Behörden nicht jeder darum ersuchenden Person vollumfänglichen persönlichen Schutz gewähren kann. Dazu bedarf es einer aussergewöhnlichen Situation, welche vorliegend jedoch nicht gegeben ist. Im Übrigen ist darauf hinzuweisen, dass die Beschwerdeführerin die türkischen Behörden bis anhin gar nie um Schutz ersucht hat (vgl. Akten BFM A4 S. 8). An dieser Einschätzung vermögen die Ausführungen in der Rechtsmitteleingabe sowie die Hinweise auf ein Urteil des Europäischen Gerichtshofes für Menschenrechte (EGMR) aus dem Jahre 2009 sowie der Bericht des deutsch-türkischen Journals vom 23. Oktober 2013 und den Artikel "Mehrheit der Türken ist für Gewalt gegen Frauen" in "Die Welt" vom 19. April 2013 nichts zu ändern. Mit der Vorinstanz und entgegen der von der Beschwerdeführerin vertretenen Ansicht ist vorliegend vom Schutzwillen und der Schutzfähigkeit des türkischen Staates auszugehen. Dies trifft insbesondere auf die türkischen Grossstädte zu. Um sich den befürchteten Repressalien zu entziehen, steht es der Beschwerdeführerin frei, aufgrund der bestehenden Niederlassungsfreiheit ([...]) in einer derjenigen Grossstädte Wohnsitz zu nehmen, die über die entsprechenden Einrichtungen verfügen. Es liegen somit keine Hinweise vor, die geeignet wären, die Flüchtlingseigenschaft zu begründen. Bei dieser Sachlage erübrigt es sich, auf die weiteren Ausführungen in der Rechtsmitteleingabe einzugehen. Die Beschwerdeführerin äussert sich im Übrigen zu den Ausführungen des BFM im Zusammenhang mit einer Reflexverfolgung nicht, weshalb zu schliessen ist, dass jene nicht beanstandet werden, und nicht weiter auf diesen Punkt einzugehen ist. Das BFM hat die Asylgesuche der Beschwerdeführerinnen daher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oder des Ausländers in den Heimat-, Herkunfts- oder einen Drittstaat entgegenstehen. Da die Beschwerdeführerinnen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den Akten ergeben sich konkrete Anhaltspunkte dafür, dass sie und ihre (...) für den Fall einer Ausschaffung in die Türkei dort mit beachtlicher Wahrscheinlichkeit einer nach Art. 3 EMRK oder Art. 1 FoK verbotenen Strafe oder Behandlung ausgesetzt wären. Der Vollzug der Wegweisung ist somit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In der Türkei herrscht keine landesweite Situation allgemeiner Gewalt (vgl. dazu BVGE 2013/2 E. 9.5 und 9.6), weshalb von der generellen Zumutbarkeit des Wegweisungsvollzugs auszugehen ist. Aufgrund der Aktenlage ist auch nicht davon auszugehen, dass die Beschwerdeführerinnen aus individuellen Gründen wirtschaftlicher, sozialer oder gesundheitlicher Natur in eine existenzbedrohende Situation geraten würden. Den Angaben der Beschwerdeführerin zufolge verfügt sie in Istanbul, wo sie die letzten Jahre vor ihrer Ausreise gelebt hat, über eine Cousine mütterlicherseits, bei der sie mit (...) nach ihrem Aufenthalt im Hotel gewohnt habe, sowie ihren Geliebten, der sie heiraten möchte und eine Schulfreundin (vgl. A4 S. 8, A6 S. 5, 8, 9, 11). Es ist daher davon auszugehen, dass die Beschwerdeführerin und (...) bei einer Rückkehr in die Türkei nicht auf sich allein gestellt sind. Zudem arbeitete die Beschwerdeführerin vor ihrer Heirat während neun Jahren als (...), hat mithin berufliche Qualifikationen vorzuweisen. Bei Bedarf könnte sie sich auch an die zuständigen türkischen Sozialbehörden oder an eine Nichtregierungsorganisation wenden, wo sie Beratung und Unterstützung finden könnte. Nicht zuletzt kann die Beschwerdeführerin allenfalls auch finanzielle Hilfe der in der Schweiz lebenden Familienmitglieder erlangen. Die (...) der Beschwerdeführerin war bei ihrer Ausreise aus der Türkei (...) Jahre alt. Es ist davon auszugehen, dass ihr eine Integration namentlich in den schulischen Alltag in der Türkei nicht schwerfallen wird. Da sie lediglich knapp sechs Monate in der Schweiz verbracht hat und mit ihrer primären Bezugspersonen, ihrer Mutter, ins Heimatland zurückkehren kann, erscheint der Wegweisungsvollzug in die Türkei auch unter dem Aspekt des Kindeswohls als zumutbar. Bezüglich der geltend gemachten medizinischen Probleme der Beschwerdeführerin ist aufgrund der Akten (vgl. dazu insbesondere den ärztlichen Bericht der Klinik (...) vom 18. November 2013) festzustellen, dass sie an einer akuten Belastungsreaktion mit Suizidalität bei negativem Asylentscheid und schwieriger familiärer Situation sowie an Depressionen leidet und deswegen in der Schweiz medikamentös und mit psychotherapeutischen Gesprächen ambulant behandelt wird. Aktuell gehe es ihr besser und sie habe keine Suizidgedanken mehr, wirke aufgehellter und aktiver, was sich jedoch unter dem Druck, Unterlagen einzureichen, erneut verschlechtert habe. Da in der Türkei landesweit sowohl psychiatrische Einrichtungen als auch ausgebildetes Fachpersonal und Psychopharmaka vorhanden sind und die Beschwerdeführerin bereits vor ihrer Ausreise D._______ in psychiatrischer Behandlung war (vgl. ärztliche Bescheinigung der psychiatrischen Behandlung vom 14. August 2013), kann sie ihre psychischen Probleme auch in der Türkei wieder angemessen behandeln lassen. Zwar ist nicht auszuschliessen, dass sich eine Rückkehr der Beschwerdeführerin an ihren Herkunftsort zunächst negativ auf ihren psychischen Zustand auswirken könnte. Eine Behandlung im Heimatland bringt jedoch auch positive Seiten mit sich, wie beispielsweise die vertraute Umgebung, Kommunikation in der Muttersprache und allenfalls Beistand durch die oben erwähnten Angehörigen, weshalb die Erfolgsaussichten einer Behandlung in der Türkei als intakt zu bezeichnen sind. Ferner ist darauf hinzuweisen, dass einer möglichen Dekompensation und Suizidalität im Hinblick auf einen allenfalls zwangsweisen Vollzug der Wegweisung durch geeignete medikamentöse oder nötigenfalls psychotherapeutische Massnahmen entgegengewirkt werden kann. Im Rahmen der individuellen Rückkehrhilfe besteht schliesslich die Möglichkeit, zusätzliche medizinische Hilfeleistungen (Kauf von Medikamenten, Organisation einer medizinischen Behandlung nach der Rückkehr, ärztliche Begleitung während der Heimreise) zu beantragen. Nach dem Gesagten ist der Wegweisungsvollzug demnach auch unter diesem Aspekt als zumutbar zu erachten.</w:t>
      </w:r>
    </w:p>
    <w:p>
      <w:r>
        <w:rPr>
          <w:b/>
        </w:rPr>
        <w:t>E. 7.4</w:t>
      </w:r>
    </w:p>
    <w:p>
      <w:r>
        <w:t>Schliesslich verfügen die Beschwerdeführerin(...) über gültige Reisepässe,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AsylG). Die Beschwerde ist abzuweisen.</w:t>
      </w:r>
    </w:p>
    <w:p>
      <w:r>
        <w:rPr>
          <w:b/>
        </w:rPr>
        <w:t>E. 9</w:t>
      </w:r>
    </w:p>
    <w:p>
      <w:r>
        <w:t>Bei diesem Ausgang des Verfahrens sind die Kosten den Beschwerdeführer(...) aufzuerlegen (Art. 63 Abs. 1 VwVG) und auf insgesamt Fr. 600.- festzusetzen (vgl. Art. 1-3 des Reglements vom 21. Februar 2008 über die Kosten und Entschädigungen vor dem Bundesverwaltungsgericht (VGKE, SR 173.320.2). Dieser Betrag ist mit dem in gleicher Höhe geleisteten Kostenvorschuss vom 21. Januar 2014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