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E-6730/2011 vom 9. Januar 2012</w:t>
      </w:r>
    </w:p>
    <w:p>
      <w:r>
        <w:t>Bundesverwaltungsgericht, 2012-01-09, FR</w:t>
      </w:r>
    </w:p>
    <w:p>
      <w:r>
        <w:rPr>
          <w:b/>
        </w:rPr>
        <w:t xml:space="preserve">Quelle: </w:t>
      </w:r>
      <w:r>
        <w:t>https://mcp.opencaselaw.ch/entscheid/bvger_E-6730_2011</w:t>
      </w:r>
    </w:p>
    <w:p>
      <w:r>
        <w:t>FR: TAF E-6730/2011 du 9 janvier 2012</w:t>
      </w:r>
    </w:p>
    <w:p>
      <w:r>
        <w:t>IT: TAF E-6730/2011 del 9 gennaio 2012</w:t>
      </w:r>
    </w:p>
    <w:p>
      <w:pPr>
        <w:pStyle w:val="Heading2"/>
      </w:pPr>
      <w:r>
        <w:t>Regeste</w:t>
      </w:r>
    </w:p>
    <w:p>
      <w:r>
        <w:t>Asile (non-entrée en matière / violation grave de l'obligation de collaborer)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