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E-6729/2017 vom 6. August 2019</w:t>
      </w:r>
    </w:p>
    <w:p>
      <w:r>
        <w:t>Bundesverwaltungsgericht, 2019-08-06, FR</w:t>
      </w:r>
    </w:p>
    <w:p>
      <w:r>
        <w:rPr>
          <w:b/>
        </w:rPr>
        <w:t xml:space="preserve">Quelle: </w:t>
      </w:r>
      <w:r>
        <w:t>https://mcp.opencaselaw.ch/entscheid/bvger_E-6729_2017</w:t>
      </w:r>
    </w:p>
    <w:p>
      <w:r>
        <w:t>FR: TAF E-6729/2017 du 6 août 2019</w:t>
      </w:r>
    </w:p>
    <w:p>
      <w:r>
        <w:t>IT: TAF E-6729/2017 del 6 agosto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l'occurrence, il convient de constater que, lors de ses auditions au cours de la seconde procédure d'asile, la recourante a fait valoir que ses motifs de fuite en 2015 étaient identiques à ceux à l'origine de sa fuite en 2007. Pourtant, d'une procédure à l'autre, elle n'a pas allégué les mêmes motifs pour justifier sa fuite en 2007, prétendant lors de la première qu'il s'agissait des violences de son époux ou concubin C._______, qu'elle avait librement choisi contre la volonté de son père, puis, lors de la seconde, qu'il s'agissait des violences de son père, furieux de la rupture de ses fiançailles avec le dénommé F._______ avec lequel il entendait la marier de force dans les trois mois, ainsi que des revendications de son ancien fiancé en restitution des frais engagés dans les préparatifs du mariage.</w:t>
      </w:r>
    </w:p>
    <w:p>
      <w:r>
        <w:rPr>
          <w:b/>
        </w:rPr>
        <w:t>E. 3.2</w:t>
      </w:r>
    </w:p>
    <w:p>
      <w:r>
        <w:t>Lors de la seconde procédure d'asile, elle a également fourni des versions divergentes des faits, prétendant tantôt avoir vécu depuis son retour au Kosovo en 2008 exclusivement sous le toit de son père, tantôt n'y avoir vécu que trois mois ; de même, elle a affirmé n'avoir jamais été précédemment mariée avant d'admettre, une fois confrontée aux résultats antérieurs de l'enquête d'ambassade sur son mariage de 1999 à 2002, l'avoir été avec le dénommé C._______.</w:t>
      </w:r>
    </w:p>
    <w:p>
      <w:r>
        <w:rPr>
          <w:b/>
        </w:rPr>
        <w:t>E. 3.3</w:t>
      </w:r>
    </w:p>
    <w:p>
      <w:r>
        <w:t>Compte tenu de ces modifications de ses allégations au cours des procédures, sa crédibilité personnelle fait défaut. De surcroît, la production de plusieurs écrits de son père, apparemment confectionnés pour les besoins de la cause, puisque destinés à augmenter les chances de succès de sa demande d'asile, est de nature à infirmer ses déclarations sur la rupture de tout contact avec lui, voire leur mésentente.</w:t>
      </w:r>
    </w:p>
    <w:p>
      <w:r>
        <w:rPr>
          <w:b/>
        </w:rPr>
        <w:t>E. 3.4</w:t>
      </w:r>
    </w:p>
    <w:p>
      <w:r>
        <w:t>En dépit de ce qui précède, le Tribunal laisse indécise la question de la vraisemblance, au sens de l'art. 7 LAsi, des déclarations de la recourante sur ses motifs de fuite en 2015 dès lors qu'elles ne sont pas pertinentes au sens de l'art. 3 LAsi.</w:t>
      </w:r>
    </w:p>
    <w:p>
      <w:r>
        <w:rPr>
          <w:b/>
        </w:rPr>
        <w:t>E. 4.1</w:t>
      </w:r>
    </w:p>
    <w:p>
      <w:r>
        <w:t>En effet, sous l'angle de la pertinence des motifs de protection avancés par la recourante, force est de constater, d'une part, que les revendications financières de son ancien fiancé pour les frais en vue du mariage sont possiblement légitimes, du moins en partie, le droit suisse prévoyant d'ailleurs une participation financière aux frais engagés en vue du mariage en cas de de rupture des fiançailles (voir art. 92 CC) ; elles ne sont pas constitutives d'un sérieux préjudice au sens de l'art. 3 LAsi. S'agissant, d'autre part, des violences physiques que lui aurait infligées son père lorsqu'elle séjournait sous son toit, rien ne l'oblige, en tant qu'adulte, à retourner s'installer au domicile parental.</w:t>
      </w:r>
    </w:p>
    <w:p>
      <w:r>
        <w:rPr>
          <w:b/>
        </w:rPr>
        <w:t>E. 4.2</w:t>
      </w:r>
    </w:p>
    <w:p>
      <w:r>
        <w:t>En outre, il y a une rupture du lien de causalité temporel entre l'exposition alléguée auxdites violences dans les trois mois consécutifs à son retour au pays en 2008 et son nouveau départ du pays en 2015, puisque, dans cette version des faits, elle a déclaré avoir vécu dans l'intervalle de plusieurs années chez des proches parents, sans avoir été confrontée directement aux violences de son père.</w:t>
      </w:r>
    </w:p>
    <w:p>
      <w:r>
        <w:rPr>
          <w:b/>
        </w:rPr>
        <w:t>E. 4.3</w:t>
      </w:r>
    </w:p>
    <w:p>
      <w:r>
        <w:t>Pour le reste, elle n'a apporté aucun contre-argument à celui du SEM sur la possibilité, en cas de besoin avéré, de trouver une protection auprès des autorités locales (cf. ATAF 2011/50 consid. 4.7 ; voir aussi arrêt du Tribunal E-4928/2014 du 18 décembre 2015 consid. 2.5 à 2.10).</w:t>
      </w:r>
    </w:p>
    <w:p>
      <w:r>
        <w:rPr>
          <w:b/>
        </w:rPr>
        <w:t>E. 4.4</w:t>
      </w:r>
    </w:p>
    <w:p>
      <w:r>
        <w:t>Au vu de ce qui précède, c'est à bon droit que le SEM a refusé de reconnaître la qualité de réfugié à la recourante et qu'il a rejeté sa demande d'asile. Partant, les conclusions du recours, tendant à l'annulation de la décision attaquée et, en réforme, à la reconnaissance de la qualité de réfugié et à l'octroi de l'asile, doivent être rejetées. C'est également à juste titre que le SEM a prononcé le renvoi de la recourante de Suisse, conformément à la règle générale prévue à l'art. 44 LAsi et en l'absence d'une exception prévue à l'art. 32 al. 1 de l'ordonnance 1 sur l'asile du 11 août 1999 (OA 1, RS 142.311).</w:t>
      </w:r>
    </w:p>
    <w:p>
      <w:r>
        <w:rPr>
          <w:b/>
        </w:rPr>
        <w:t>E. 5</w:t>
      </w:r>
    </w:p>
    <w:p>
      <w:r>
        <w:t>La recourante, agissant par l'intermédiaire de son mandataire, n'a pris que des conclusions en réforme en matière d'asile, à l'exclusion d'une conclusion tendant à la renonciation à la mesure d'exécution du renvoi et au prononcé d'une admission provisoire. En outre, elle n'a pas fourni de motivation qui serait spécifique à cette question ni formulé de grief relatif à la décision en la matière, de sorte qu'il n'y a pas lieu d'admettre de conclusion implicite sur ce point (que ce soit en cassation ou en réforme). Il n'y a dès lors pas lieu d'examiner plus avant la question de l'exécution du renvoi, qui ne fait pas partie de l'objet du litige.</w:t>
      </w:r>
    </w:p>
    <w:p>
      <w:r>
        <w:rPr>
          <w:b/>
        </w:rPr>
        <w:t>E. 6</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7</w:t>
      </w:r>
    </w:p>
    <w:p>
      <w:r>
        <w:t>Au vu du caractère d'emblée voué à l'échec des conclusions du recours, la demande d'assistance judiciaire partielle doit être rejetée (cf. art. 65 al. 1 PA).</w:t>
      </w:r>
    </w:p>
    <w:p>
      <w:r>
        <w:rPr>
          <w:b/>
        </w:rPr>
        <w:t>E. 8</w:t>
      </w:r>
    </w:p>
    <w:p>
      <w:r>
        <w:t>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