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E-6709/2014 vom 20. November 2014</w:t>
      </w:r>
    </w:p>
    <w:p>
      <w:r>
        <w:t>Bundesverwaltungsgericht, 2014-11-20, FR</w:t>
      </w:r>
    </w:p>
    <w:p>
      <w:r>
        <w:rPr>
          <w:b/>
        </w:rPr>
        <w:t xml:space="preserve">Quelle: </w:t>
      </w:r>
      <w:r>
        <w:t>https://mcp.opencaselaw.ch/entscheid/bvger_E-6709_2014</w:t>
      </w:r>
    </w:p>
    <w:p>
      <w:r>
        <w:t>FR: TAF E-6709/2014 du 20 novembre 2014</w:t>
      </w:r>
    </w:p>
    <w:p>
      <w:r>
        <w:t>IT: TAF E-6709/2014 del 20 novembre 2014</w:t>
      </w:r>
    </w:p>
    <w:p>
      <w:pPr>
        <w:pStyle w:val="Heading2"/>
      </w:pPr>
      <w:r>
        <w:t>Regeste</w:t>
      </w:r>
    </w:p>
    <w:p>
      <w:r>
        <w:t>Asile et renvoi (recours réexamen)</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LTF s'appliquent par analogie à la révision des arrêts du Tribunal.</w:t>
      </w:r>
    </w:p>
    <w:p>
      <w:r>
        <w:rPr>
          <w:b/>
        </w:rPr>
        <w:t>E. 1.3</w:t>
      </w:r>
    </w:p>
    <w:p>
      <w:r>
        <w:t>Ayant fait l'objet de l'arrêt mis en cause par la présente demande de révision, le requérant a qualité pour agir. Présentée dans la forme (cf. art. 67 al. 3 PA; applicable par renvoi de l'art. 47 LTAF) et le délai prescrits par la loi (cf. art. 124 LTF), ladite demande est recevable.</w:t>
      </w:r>
    </w:p>
    <w:p>
      <w:r>
        <w:rPr>
          <w:b/>
        </w:rPr>
        <w:t>E. 2</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 13). En l'espèce, le requérant a produit quatre pièces antérieures à la date de l'arrêt remis en cause ; il s'agit dès lors de moyens de révision recevables.</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Commentaire de la LTF, 2009, art. 123 no 18). Cela implique aussi qu'il doit avoir fait preuve de toute la diligence que l'on peut exiger de lui. Celle-ci fera en particulier défaut si la découverte du fait ou du moyen de preuve est le fruit de recherches qui auraient pu et dû être effectuées plus tôt (cf. arrêt du TF 9F_2/2010 du 27 mai 2010 consid. 1 et réf. cit.).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ATAF 2007/21 consid. 7.2 et 8.1; Jurisprudence et informations de la Commission suisse de recours en matière d'asile [JICRA] 2003 no 17 consid. 2b; 1993 no 18 consid. 2a et 3a et 1993 no 4 consid. 5).</w:t>
      </w:r>
    </w:p>
    <w:p>
      <w:r>
        <w:rPr>
          <w:b/>
        </w:rPr>
        <w:t>E. 3.2</w:t>
      </w:r>
    </w:p>
    <w:p>
      <w:r>
        <w:t>En l'espèce, le requérant n'a fourni aucune explication sur la manière dont il a obtenu les pièces en cause et les voies par lesquelles elles lui sont parvenues ; il n'est donc pas possible de déterminer si elles auraient pu être produites en procédure ordinaire. Toutefois, dans la mesure où elles ne sont pas de nature à remettre en cause l'arrêt attaqué, cette question peut être laissée indécise. En premier lieu, a en effet été produit un "ordre de convocation" émanant prétendument de la "Cour d'appel de Lomé-Tribunal de Lomé-Cabinet du PR [Procureur de la République]", invitant l'intéressé à se présenter devant le "7e substitut du PR" ; ce document porte cependant le timbre du "Tribunal de 1ère instance de première classe-Procureur de la République" de la même ville, ce qui en montre le caractère douteux ; de plus, il aurait été émis le 3 mai 2012, soit le lendemain même de l'évasion du requérant, ce qui n'apparaît guère crédible. La convocation ne comporte en outre aucun motif (sinon "pour affaire le concernant"), ni l'adresse précise du destinataire. L'intéressé a également déposé deux convocations de police en original, à lui destinées, censément émises les 7 et 14 mai 2012 par le "Commissariat spécial de police du port-Lomé", mais qui comportent toujours la partie détachable tenant lieu d'accusé de réception ; elle n'ont donc pu être notifiée ou remise à leur destinataire ou à un de ses proches, si bien qu'on ne voit guère comment elle peuvent se trouver en possession de l'intéressé. Ces documents sont dès lors tout aussi douteux, ce d'autant plus que le service émetteur est désigné comme "police", sans autre précision. Plaident dans le même sens les mentions manuscrites fantaisistes "attention au refus" et "à lire attentivement", dont la présence sur une convocation officielle n'a aucune justification. L'adresse du destinataire n'est pas non plus indiquée. En outre, il n'est pas vraisemblable que l'intéressé, dans les deux cas, ait été convoqué pour le jour suivant. Enfin, l'attestation signée, le 11 août 2014, de B._______, responsable de la jeunesse de l'ANC, soit deux ans après les faits, a toutes les apparences d'un écrit de complaisance, élaboré à la demande du requérant lui-même ; il se limite d'ailleurs à des généralités, et ne comporte aucune donnée concrète et vérifiable.</w:t>
      </w:r>
    </w:p>
    <w:p>
      <w:r>
        <w:rPr>
          <w:b/>
        </w:rPr>
        <w:t>E. 3.3</w:t>
      </w:r>
    </w:p>
    <w:p>
      <w:r>
        <w:t>En conséquence, basée uniquement sur des moyens de preuve douteux et non fiables, la demande de révision doit être rejetée.</w:t>
      </w:r>
    </w:p>
    <w:p>
      <w:r>
        <w:rPr>
          <w:b/>
        </w:rPr>
        <w:t>E. 3.4</w:t>
      </w:r>
    </w:p>
    <w:p>
      <w:r>
        <w:t>Le Tribunal n'examine pas les motifs de réexamen soulevés dans la demande, dont l'appréciation est du ressort de l'ODM, ainsi que ce dernier l'a précisé dans sa lettre de transmission du 14 novembre 2014.</w:t>
      </w:r>
    </w:p>
    <w:p>
      <w:r>
        <w:rPr>
          <w:b/>
        </w:rPr>
        <w:t>E. 4</w:t>
      </w:r>
    </w:p>
    <w:p>
      <w:r>
        <w:t>L'arrêt de fond étant rendu, la requête tendant à la prise de mesures provisionnelles est sans objet.</w:t>
      </w:r>
    </w:p>
    <w:p>
      <w:r>
        <w:rPr>
          <w:b/>
        </w:rPr>
        <w:t>E. 5</w:t>
      </w:r>
    </w:p>
    <w:p>
      <w:r>
        <w:t>Vu le caractère manifestement voué à l'échec de la demande, la requête d'assistance judiciaire partielle est rejetée (art. 65 al. 1 PA, applicable par renvoi de l'art. 68 al. 2 PA). Il y a donc lieu de mettre les frais de procédure à la charge du requérant (cf. art. 63 al. 1 PA, par renvoi de l'art. 68 al. 2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