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E-6707/2013 vom 14. Juli 2014</w:t>
      </w:r>
    </w:p>
    <w:p>
      <w:r>
        <w:t>Bundesverwaltungsgericht, 2014-07-14, DE</w:t>
      </w:r>
    </w:p>
    <w:p>
      <w:r>
        <w:rPr>
          <w:b/>
        </w:rPr>
        <w:t xml:space="preserve">Quelle: </w:t>
      </w:r>
      <w:r>
        <w:t>https://mcp.opencaselaw.ch/entscheid/bvger_E-6707_2013</w:t>
      </w:r>
    </w:p>
    <w:p>
      <w:r>
        <w:t>FR: TAF E-6707/2013 du 14 juillet 2014</w:t>
      </w:r>
    </w:p>
    <w:p>
      <w:r>
        <w:t>IT: TAF E-6707/2013 del 14 luglio 2014</w:t>
      </w:r>
    </w:p>
    <w:p>
      <w:pPr>
        <w:pStyle w:val="Heading2"/>
      </w:pPr>
      <w:r>
        <w:t>Regeste</w:t>
      </w:r>
    </w:p>
    <w:p>
      <w:r>
        <w:t>Nichteintreten auf Asylgesuch (Papierlosigkeit)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Vorinstanz hat ihren Nichteintretensentscheid vom 20. November 2013 in Anwendung von Art. 32 Abs. 2 Bst. a i.V.m. Abs. 3 AsylG in der vom 1. Januar 2007 bis 31. Januar 2014 geltenden Fassung (aAsylG, vgl. AS 2006 4745, Änderung vom 16. Dezember 2005) und der entsprechenden Rechtsprechung gefällt. Am 1. Februar 2014 ist die Änderung des Asylgesetzes vom 14. Dezember 2012 in Kraft getreten (vgl. AS 2013 4375; vgl. auch die Verordnung über eine Teilinkraftsetzung der Änderung vom 14. Dezember 2012 des Asylgesetzes vom 13. Dezember 2013, AS 2013 5357), mit welcher aArt. 32 AsylG aufgehoben wurde.</w:t>
      </w:r>
    </w:p>
    <w:p>
      <w:r>
        <w:rPr>
          <w:b/>
        </w:rPr>
        <w:t>E. 2.2</w:t>
      </w:r>
    </w:p>
    <w:p>
      <w:r>
        <w:t>Gemäss dem ersten Absatz der Übergangsbestimmungen zur Änderung des Asylgesetzes vom 14. Dezember 2012 gilt für die im Zeitpunkt des Inkrafttretens der Änderung hängigen Verfahren das neue Recht. Diese Regel ist grundsätzlich auch auf Verfahren anzuwenden, in denen die Vorinstanz die Verfügung vor dem 1. Februar 2014 erlassen hat. Davon sind Verfahren auszunehmen, welche in den Absätzen 2-4 der Übergangsbestimmung aufgezählt werden, und ebenso solche, bei welchen mittels teleologischer Reduktion, wie dies beim Nichteintretenstatbestand von aArt. 32 Abs. 2 Bst. a i.V.m. Abs. 3 AsylG der Fall ist (vgl. Urteil des Bundesverwaltungsgerichts E-662/2014 vom 17. März 2014), noch altes Recht anzuwenden ist.</w:t>
      </w:r>
    </w:p>
    <w:p>
      <w:r>
        <w:rPr>
          <w:b/>
        </w:rPr>
        <w:t>E. 2.3</w:t>
      </w:r>
    </w:p>
    <w:p>
      <w:r>
        <w:t>Somit ergibt sich, dass das vorliegende Verfahren nach dem Recht, welches zum Zeitpunkt der Ausfällung der vorinstanzlichen Verfügung und der Antragstellung in Kraft war, behandelt wird.</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Die Beurteilung von Beschwerden gegen Nichteintretensentscheide nach aArt. 32 - 35 AsylG, mit denen es das BFM ablehnt, ein Asylgesuch auf seine materielle Begründetheit hin zu überprüfen, ist grundsätzlich auf die Überprüfung der Frage beschränkt, ob die Vorinstanz zu Recht auf das Asylgesuch nicht eingetreten ist (vgl. BVGE 2011/9 E. 5 S. 116). Das Bundesverwaltungsgericht enthält sich demnach - sofern es den Nicht­eintretensentscheid als unrechtmässig erachtet - einer selbstständigen materiellen Prüfung, hebt die angefochtene Verfügung auf und weist die Sache zur neuen Entscheidung an die Vorinstanz zurück (vgl. BVGE 2011/30 E. 3 S. 568). Im Falle des Nichteintretens auf ein Asylgesuch gestützt auf aArt. 32 Abs. 2 Bst. a und Abs. 3 AsylG ist indessen über das Nichtbestehen der Flüchtlingseigenschaft abschliessend materiell zu entscheiden, soweit dies im Rahmen einer summarischen Prüfung möglich ist (vgl. BVGE 2007/8 E. 5.6.5 S. 90 f.). Dementsprechend bildet in einem diesbezüglichen Beschwerdeverfahren ungeachtet der vorzunehmenden Überprüfung eines formellen Nichteintretensentscheides auch die Flüchtlingseigenschaft Prozessgegenstand (vgl. BVGE 2007/8 E. 2.1 S. 73). Die Vorinstanz prüft die Frage der Wegweisung und des Vollzugs materiell, weshalb dem Bundesverwaltungsgericht diesbezüglich volle Kognition zukommt.</w:t>
      </w:r>
    </w:p>
    <w:p>
      <w:r>
        <w:rPr>
          <w:b/>
        </w:rPr>
        <w:t>E. 4.2</w:t>
      </w:r>
    </w:p>
    <w:p>
      <w:r>
        <w:t>Gemäss aArt. 32 Abs. 2 Bst. a AsylG wird auf ein Asylgesuch nicht eingetreten, wenn Asylsuchende den Behörden nicht innert 48 Stunden nach Einreichung des Gesuchs Reise- oder Identitätspapiere abgeben. Diese Bestimmung findet jedoch keine Anwendung, wenn Asylsuchende glaubhaft machen können, sie seien dazu aus entschuldbaren Gründen nicht in der Lage (aArt.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w:t>
      </w:r>
    </w:p>
    <w:p>
      <w:r>
        <w:rPr>
          <w:b/>
        </w:rPr>
        <w:t>E. 4.3</w:t>
      </w:r>
    </w:p>
    <w:p>
      <w:r>
        <w:t>Das BFM hielt zur Begründung des Nichteintretens auf das Asylgesuch fest, es lägen keine entschuldbaren Gründe vor, die es dem Beschwerdeführer verunmöglicht haben könnten, innert 48 Stunden nach der Gesuchseinreichung für den Nachweis seiner Identität taugliche Reise- oder Identitätspapiere einzureichen. Zudem könne angesichts der nicht glaubhaften Asylgründe weder die Flüchtlingseigenschaft festgestellt werden noch seien zusätzliche Abklärungen zur Feststellung der Flüchtlingseigenschaft oder eines Wegweisungsvollzugshindernisses nötig. Zwar habe das am 8. April 2009 aufgezeichnete Gespräch ergeben, dass die Hauptsozialisation des Beschwerdeführers sehr wahrscheinlich in einem palästinensischen Milieu in Syrien stattgefunden habe. Es sei deshalb überwiegend wahrscheinlich, dass er tatsächlich längere Zeit im Flüchtlingslager (...) (...) gelebt habe und dort wohl auch aufgewachsen sei. Das telefonische Interview habe aber auch gezeigt, dass er keine Angaben zu Identitätskarten für Palästinenser oder zu syrisch-palästinensischen Militärbüchlein habe machen können, welche bis im Jahre 2007 oder 2008 in Syrien ausgestellt worden seien. Zudem habe er die Farbe des damaligen palästinensischen Reisedokumentes nicht gekannt und seine Angaben zu den in diesem Zeitraum verwendeten Münzen und Geldnoten entsprächen nicht der Realität. Es sei deshalb davon auszugehen, dass der Beschwerdeführer Syrien bereits viel früher als angegeben verlassen habe. Diese Einschätzung werde durch seine widersprüchlichen und unsubstanziierten Aussagen bestätigt. Der Beschwerdeführer erfülle die Flüchtlingseigenschaft nicht, weshalb der Grundsatz der Nichtrückschiebung gemäss Art. 5 Abs. 1 AsylG nicht zur Anwendung gelange. Ferner ergäben sich aus den Akten auch keine Anhaltspunkte dafür, dass ihm im Falle einer Rückkehr in den Heimat- oder Herkunftsstaat mit beachtlicher Wahrscheinlichkeit eine gemäss Art. 3 der Konvention vom 4. November 1950 zum Schutze der Menschenrechte und Grundfreiheiten (EMRK, SR 0.101) verbotene Strafe oder Behandlung drohe. Zusätzliche Abklärungen zur Feststellung von Wegweisungsvollzugshindernissen seien nicht nötig, weil gemäss ständiger Praxis der Grundsatz, wonach die Asylbehörden verpflichtet seien, den Sachverhalt von Amtes wegen festzustellen, dort seine Grenzen habe, wo Asylsuchende nicht bereit seien, ihrer Mitwirkungspflicht nachzukommen. Der Vollzug der Wegweisung nach Syrien sei zwar aufgrund der dortigen Sicherheitslage nicht zumutbar, aber vorliegend sei es für den Beschwerdeführer zumutbar, in das Land, wo er sich nach seiner Ausreise aus Syrien aufgehalten habe, zurückzukehren. Weitergehende Angaben zur Zumutbarkeit des Wegweisungsvollzugs könnten nicht gemacht werden, weil er dem Bundesamt offensichtlich wesentliche Angaben zu seinem Aufenthalt in den letzten Jahren vor seiner Einreise in die Schweiz verheimlicht habe. Der Vollzug der Wegweisung sei ausserdem technisch möglich und praktisch durchführbar.</w:t>
      </w:r>
    </w:p>
    <w:p>
      <w:r>
        <w:rPr>
          <w:b/>
        </w:rPr>
        <w:t>E. 4.4</w:t>
      </w:r>
    </w:p>
    <w:p>
      <w:r>
        <w:t>Der Beschwerdeführer hat trotz mehrfacher Aufforderung durch das BFM keine Identitätsdokumente eingereicht, obwohl ihm dies aufgrund seiner Aussagen bei der Anhörung vom 23. November 2012, er habe vor einem Monat oder eineinhalb Monaten mit seiner im Lager (...) lebenden Mutter telefonischen Kontakt gehabt (Akten BFM A40/15 S. 3 Frage11), und er könne einen Militärausweis, Fotos vom Militär, Schuldokumente, eine Lebensmittelkarte und einen UNO-Ausweis für Flüchtlinge beschaffen (A40/15 S. 6 Frage 46), ohne Weiteres möglich und auch zumutbar gewesen wäre. Vor diesem Hintergrund und angesichts der seit Einreichung des Asylgesuchs bereits zur Verfügung gestandenen Zeit erweist sich seine Erklärung im Schreiben vom 21. Januar 2013, die Umstände in Syrien hätten sich weiter verschlechtert und seine Verwandten seien vor (...) nach (...) und vor (...) (...) geflüchtet, als wenig stichhaltig. Die Grundvoraussetzung für die Anwendbarkeit des Nichteintretenstatbestandes von aArt. 32 Abs. 2 Bst. a AsylG ist somit erfüllt (vgl. BVGE 2007/7 E. 6 S. 69 f.).</w:t>
      </w:r>
    </w:p>
    <w:p>
      <w:r>
        <w:rPr>
          <w:b/>
        </w:rPr>
        <w:t>E. 4.5</w:t>
      </w:r>
    </w:p>
    <w:p>
      <w:r>
        <w:t>Die in aArt. 32 Abs. 3 Bstn. a-c AsylG vorgesehenen, einen Nichteintretensentscheid nach Art. 32 Abs. 2 Bst. a AsylG ausschliessenden Gründe sind alternativer Natur. Sobald einer dieser Gründe erfüllt ist, gelangt aArt. 32 Abs. 2 Bst. a AsylG nicht zur Anwendung (vgl. BVGE 2010/2 E. 7.4 S. 30). Vorliegend kann offenbleiben, ob die Vorinstanz zu Recht das Vorliegen von Gründen nach aArt. 32 Abs. 3 Bstn. a-c AsylG verneint hat, weil, wie nachstehend aufzuzeigen sein wird, die angefochtene Verfügung aus einem anderen Grund aufzuheben ist.</w:t>
      </w:r>
    </w:p>
    <w:p>
      <w:r>
        <w:rPr>
          <w:b/>
        </w:rPr>
        <w:t>E. 5.1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[vormaligen]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E5c S. 19 f.).</w:t>
      </w:r>
    </w:p>
    <w:p>
      <w:r>
        <w:rPr>
          <w:b/>
        </w:rPr>
        <w:t>E. 5.2</w:t>
      </w:r>
    </w:p>
    <w:p>
      <w:r>
        <w:t>Mit der Aussage des Beschwerdeführers anlässlich der BzP vom 27. März 2009, er sei gefoltert worden und mit seinen auf Nachfrage hin erfolgten weiteren Ausführungen, man habe ihn (...), er könne nicht alles sagen, was man ihm angetan habe, nicht einmal Tiere behandle man so schlecht, und man habe ihn beleidigt und seine Ehre mit Füssen getreten, zudem könne er mit seinen Augen nicht mehr sehen und sein Gedächtnis habe Mängel, lagen entgegen den diesbezüglichen Ausführungen des Bundesamtes in seiner Vernehmlassung konkrete Hinweise auf eine geschlechtsspezifische Verfolgung (Eingriff in die sexuelle Identität) vor, welche zwingend (vgl. EMARK 2003 Nr. 2 E. 5c S.19, und im Sinne von Beispielen Urteile des Bundesverwaltungsgerichts E-4285/2006 vom 25. November 2009, E-5321/2007 vom 22. September 2010 und D-3161/2013 vom 19. November 2013) Anlass dazu hätten geben müssen, die Schutzvorschrift von Art. 6 AsylV 1 anzuwenden und den Beschwerdeführer in der Folge durch ein reines Männerteam zu seinen Asylgründen anzuhören. Wie bereits vorstehend (E. 5.1)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der Beschwerdeführer aus Scham gegenüber der bei der Anhörung vom 23. November 2012 anwesenden Frauen darauf verzichtet hat, ausführlicher über das in der Haft Erlittene zu berichten. Angesichts der Tatsache, dass es der Befrager anlässlich der Anhörung unterlassen hat, den Beschwerdeführer über seine diesbezüglichen Rechte aufzuklären, ist auch nicht davon auszugehen, der Beschwerdeführer habe auf eine Anhörung durch ein reines Männerteam ausdrücklich verzichtet. An dieser Sachlage vermag der Umstand, dass der Beschwerdeführer auf die Frage, ob er mehr über die erlittenen Folterungen reden würde, wenn hier in diesem Raum keine Frauen anwesend wären, antwortete, nein, er wolle darüber nicht mehr sprechen, er sei beleidigt worden, mehr wolle er nicht sagen, es sei um seine Ehre gegangen, mehr als das gebe es nicht (A40/15 S. 12 Frage 130), etwas zu ändern, zumal er mit einer solchen Frage nicht über seine Rechte aufgeklärt wurde und folglich auch nicht darauf verzichten konnte.</w:t>
      </w:r>
    </w:p>
    <w:p>
      <w:r>
        <w:rPr>
          <w:b/>
        </w:rPr>
        <w:t>E. 5.3</w:t>
      </w:r>
    </w:p>
    <w:p>
      <w:r>
        <w:t>Damit ergibt sich, dass das Bundesamt dadurch, dass es den Be­schwerdeführer trotz klaren Hinweisen auf eine geschlechtsspezifische Verfolgung nicht durch ein reines Männerteam zu seinen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6</w:t>
      </w:r>
    </w:p>
    <w:p>
      <w:r>
        <w:t>Beschwerden gegen Verfügungen des BFM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des Beschwerdeführers durch ein reines Männerteam nachzuholen. Abgesehen davon ginge dem Beschwerdeführer dadurch eine Überprüfungsinstanz verloren.</w:t>
      </w:r>
    </w:p>
    <w:p>
      <w:r>
        <w:rPr>
          <w:b/>
        </w:rPr>
        <w:t>E. 7</w:t>
      </w:r>
    </w:p>
    <w:p>
      <w:r>
        <w:t>Bei dieser Sachlage ist die Beschwerde gutzuheissen. Die Verfügung vom 20. November 2013 ist aufzuheben und das BFM ist anzuweisen, den Beschwerdeführer durch ein reines Männerteam zu seinen Asylgründen anzuhören, den rechtserheblichen Sachverhalt richtig respektive vollständig festzustellen und über das Asylgesuch neu zu entscheiden. Im Übrigen hat das BFM der Rechtsvertreterin, welche allerdings an der erneuten Anhörung sinnvollerweise nicht teilnehmen beziehungsweise sich durch einen Mann vertreten lassen sollte, vor der Anhörung eine Kopie der Akte A38/21 zuzustellen. Bei diesem Aktenstück handelt es sich um einen nicht unterschriebenen Ausdruck des Protokolls vom 24. Juni 2009 (samt Aktennotiz vom 14. August 2012). Die Rechtsvertreterin bezweifelte in ihrer Beschwerdeschrift, dass vom Protokoll nicht einmal mehr eine elektronische Version vorhanden sei, und wusste mithin über die Existenz des nicht unterschriebenen und deshalb in seiner Beweiskraft stark beeinträchtigten Protokolls nicht Bescheid. Auf die im Beschwerdeverfahren in reformatorischer Hinsicht gestellten Rechtsbegehren und deren Begründung sowie auf die eingereichten Dokumente ist bei diesem Verfahrensausgang nicht einzugehen, weil es Sache des Bundesamtes sein wird, sich damit zu befassen.</w:t>
      </w:r>
    </w:p>
    <w:p>
      <w:r>
        <w:rPr>
          <w:b/>
        </w:rPr>
        <w:t>E. 8.1</w:t>
      </w:r>
    </w:p>
    <w:p>
      <w:r>
        <w:t>Bei diesem Ausgang des Beschwerdeverfahrens sind keine Verfah­renskosten aufzuerlegen (Art. 63 Abs. 1 VwVG), womit der im Hinblick auf ein allfälliges Unterliegen des Beschwerdeführers mit Zwischenverfügung vom 10. Dezember 2013 gutgeheissene Antrag auf Gewährung der unentgeltlichen Rechtspflege gemäss Art. 65 Abs. 1 VwVG hinfällig wird.</w:t>
      </w:r>
    </w:p>
    <w:p>
      <w:r>
        <w:rPr>
          <w:b/>
        </w:rPr>
        <w:t>E. 8.2</w:t>
      </w:r>
    </w:p>
    <w:p>
      <w:r>
        <w:t>Dem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in der aktualisierten Kostennote vom 4. April 2014 ausgewiesene zeitliche Vertretungsaufwand scheint unter Berücksichtigung der massgebenden Bemessungsfaktoren (Art. 9 - 13 VGKE) und der Entschädigungspraxis in Vergleichsfällen angemessen und notwendig im Sinne von Art. 64 Abs. 1 VwVG. Das BFM hat dem Beschwerdeführer für das Rechtsmittelverfahren somit entsprechend der Kostennote eine Parteientschädigung im Betrag von insgesamt Fr. 1987.50 (inkl. Auslagen und allfällige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