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E-6705/2014 vom 27. November 2014</w:t>
      </w:r>
    </w:p>
    <w:p>
      <w:r>
        <w:t>Bundesverwaltungsgericht, 2014-11-27, FR</w:t>
      </w:r>
    </w:p>
    <w:p>
      <w:r>
        <w:rPr>
          <w:b/>
        </w:rPr>
        <w:t xml:space="preserve">Quelle: </w:t>
      </w:r>
      <w:r>
        <w:t>https://mcp.opencaselaw.ch/entscheid/bvger_E-6705_2014</w:t>
      </w:r>
    </w:p>
    <w:p>
      <w:r>
        <w:t>FR: TAF E-6705/2014 du 27 novembre 2014</w:t>
      </w:r>
    </w:p>
    <w:p>
      <w:r>
        <w:t>IT: TAF E-6705/2014 del 27 novembre 2014</w:t>
      </w:r>
    </w:p>
    <w:p>
      <w:pPr>
        <w:pStyle w:val="Heading2"/>
      </w:pPr>
      <w:r>
        <w:t>Regeste</w:t>
      </w:r>
    </w:p>
    <w:p>
      <w:r>
        <w:t>Renvoi et exécution du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demande de restitution de délai est rejetée.</w:t>
      </w:r>
    </w:p>
    <w:p>
      <w:r>
        <w:rPr>
          <w:b/>
        </w:rPr>
        <w:t>E. 2</w:t>
      </w:r>
    </w:p>
    <w:p>
      <w:r>
        <w:t>Il n'est pas perçu de frais.</w:t>
      </w:r>
    </w:p>
    <w:p>
      <w:r>
        <w:rPr>
          <w:b/>
        </w:rPr>
        <w:t>E. 3</w:t>
      </w:r>
    </w:p>
    <w:p>
      <w:r>
        <w:t>Le présent arrêt est adressé au requérant, à l'ODM et à l'autorité cantonale compétente. Le président du collège : La greffière : William Waeber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