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E-6701/2015 vom 18. Dezember 2015</w:t>
      </w:r>
    </w:p>
    <w:p>
      <w:r>
        <w:t>Bundesverwaltungsgericht, 2015-12-18, DE</w:t>
      </w:r>
    </w:p>
    <w:p>
      <w:r>
        <w:rPr>
          <w:b/>
        </w:rPr>
        <w:t xml:space="preserve">Quelle: </w:t>
      </w:r>
      <w:r>
        <w:t>https://mcp.opencaselaw.ch/entscheid/bvger_E-6701_2015</w:t>
      </w:r>
    </w:p>
    <w:p>
      <w:r>
        <w:t>FR: TAF E-6701/2015 du 18 décembre 2015</w:t>
      </w:r>
    </w:p>
    <w:p>
      <w:r>
        <w:t>IT: TAF E-6701/2015 del 18 dicembre 2015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soweit die Aufhebung der vorinstanz­lichen Verfügung beantragt wird.</w:t>
      </w:r>
    </w:p>
    <w:p>
      <w:r>
        <w:rPr>
          <w:b/>
        </w:rPr>
        <w:t>E. 2</w:t>
      </w:r>
    </w:p>
    <w:p>
      <w:r>
        <w:t>Die Verfügung des SEM vom 16. September 2015 wird aufgehoben. Die Akten werden zur Neubeurteilung im Sinne der Erwägungen an die Vor­instanz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SEM wird angewiesen, das Honorar des amtlichen Rechtsbeistands in Höhe von Fr. 1500.- als Parteientschädigung auszurichten.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Der Einzelrichter: Die Gerichtsschreiberin: Markus König Lhazom Pünkang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