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E-6700/2013 vom 10. Januar 2014</w:t>
      </w:r>
    </w:p>
    <w:p>
      <w:r>
        <w:t>Bundesverwaltungsgericht, 2014-01-10, DE</w:t>
      </w:r>
    </w:p>
    <w:p>
      <w:r>
        <w:rPr>
          <w:b/>
        </w:rPr>
        <w:t xml:space="preserve">Quelle: </w:t>
      </w:r>
      <w:r>
        <w:t>https://mcp.opencaselaw.ch/entscheid/bvger_E-6700_2013</w:t>
      </w:r>
    </w:p>
    <w:p>
      <w:r>
        <w:t>FR: TAF E-6700/2013 du 10 janvier 2014</w:t>
      </w:r>
    </w:p>
    <w:p>
      <w:r>
        <w:t>IT: TAF E-6700/2013 del 10 gennaio 2014</w:t>
      </w:r>
    </w:p>
    <w:p>
      <w:pPr>
        <w:pStyle w:val="Heading2"/>
      </w:pPr>
      <w:r>
        <w:t>Regeste</w:t>
      </w:r>
    </w:p>
    <w:p>
      <w:r>
        <w:t>Rechtsverzögerung/Rechtsverweigerung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Es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der Beschwerdeführer um Asyl in Form einer anfechtbaren Verfügung ersucht hat, ist er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und praktisches) Interesse an der Vornahme der verzögerten Amtshandlung haben. Das schutzwürdige Interesse des Beschwerdeführers an der Vornahme der allenfalls verzögerten Amtshandlung manifestiert sich vorliegend bereits in den sich bei den Akten befindenden Eingaben, mit welchen dieser wiederholt um beförderliche Verfahrenserledigung ersucht hatte.</w:t>
      </w:r>
    </w:p>
    <w:p>
      <w:r>
        <w:rPr>
          <w:b/>
        </w:rPr>
        <w:t>E. 2.3</w:t>
      </w:r>
    </w:p>
    <w:p>
      <w:r>
        <w:t>Auf die frist- und formgerecht eingereichte Rechtsverzögerungsbeschwerde ist einzutreten.</w:t>
      </w:r>
    </w:p>
    <w:p>
      <w:r>
        <w:rPr>
          <w:b/>
        </w:rPr>
        <w:t>E. 3</w:t>
      </w:r>
    </w:p>
    <w:p>
      <w:r>
        <w:t>Die Beschwerde ist im Verfahren einzelrichterlicher Zuständigkeit mit Zustimmung eines zweiten Richters zu behandeln, weil sie sich im Ergebnis als offensichtlich begründet erweist (Art. 111 Bst. e AsylG).</w:t>
      </w:r>
    </w:p>
    <w:p>
      <w:r>
        <w:rPr>
          <w:b/>
        </w:rPr>
        <w:t>E. 4</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so noch ausdrücklich altArt.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5</w:t>
      </w:r>
    </w:p>
    <w:p>
      <w:r>
        <w:t>In der Rechtsverzögerungsbeschwerde wird geltend gemacht, der Vater des Beschwerdeführers sei am (...) an (...) gestorben. In der Folge sei der Beschwerdeführer zu einem unbegleiteten Minderjährigen geworden. Seit seiner Einreise in die Schweiz seien mehr als drei Jahre vergangen. Er sei noch nicht vertieft zu seinen Asylgründen angehört worden. Die Ungewissheit über den Ausgang des Verfahrens stelle, insbesondere seit dem Tod seines Vaters, eine grosse psychische Belastung für ihn dar. Die Schweiz habe sich mit Unterzeichnung der Kinderrechtskonvention dazu verpflichtet, das Wohl eines Kindes bei allen Massnahmen vorrangig zu berücksichtigen und den Schutz zu gewährleisten, der für das Wohlergehen notwendig sei. Die Vorinstanz trage dem nicht ausreichend Rechnung, wenn sie einen unbegleiteten minderjährigen Asylsuchenden wie den Beschwerdeführer so lange in Ungewissheit über das Verfahren lasse.</w:t>
      </w:r>
    </w:p>
    <w:p>
      <w:r>
        <w:rPr>
          <w:b/>
        </w:rPr>
        <w:t>E. 6.1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die allzu lange Verfahrensdauer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etwa BGE 130 I 312 E. 5.1 und 5). Ein Verschulden der Behörde an der Verzögerung wird nicht vorausgesetzt, weshalb sie das Rechtsverzögerungsverbot auch dann verletzt, wenn sie wegen Personalmangels oder Überlastung nicht innert angemessener Frist verfügt (vgl. BGE 107 I b 160 E. 3c, 103 V 190 E. 5.2; Felix Uhlmann/Simone Wälle-Bär, in: Praxiskommentar VwVG, Waldmann/Weissenberger (Hrsg.), Zürich 2009, Art. 46a N 20).</w:t>
      </w:r>
    </w:p>
    <w:p>
      <w:r>
        <w:rPr>
          <w:b/>
        </w:rPr>
        <w:t>E. 6.2.1</w:t>
      </w:r>
    </w:p>
    <w:p>
      <w:r>
        <w:t>Nach den in Art. 37 AsylG festgelegten erstinstanzlichen Behandlungsfristen sind Entscheide nach den Artikeln 38-40 in der Regel innerhalb von 20 Arbeitstagen nach der Gesuchstellung zu treffen (Abs. 2) beziehungsweise in der Regel innerhalb von drei Monaten, wenn weitere Abklärungen nach Art. 41 erforderlich sind (Abs. 3).</w:t>
      </w:r>
    </w:p>
    <w:p>
      <w:r>
        <w:rPr>
          <w:b/>
        </w:rPr>
        <w:t>E. 6.2.2</w:t>
      </w:r>
    </w:p>
    <w:p>
      <w:r>
        <w:t>Der Beschwerdeführer reiste zusammen mit seinem zwischenzeitlich verstorbenen Vater in die Schweiz ein und wurde als Minderjähriger in dessen Asylgesuch vom 17. November 2010 eingeschlossen. Der Vater wurde am 23. November 2010 befragt und am 30. November 2010 angehört. Am 22. Dezember 2010 wies das BFM den Vater und den Beschwerdeführer für die Dauer des Verfahrens dem Kanton (...) zu. Es unternahm (erst) rund ein Jahr nach dem Tod des Vaters und als Folge von wiederholten Eingaben des Beschwerdeführers mit der Terminanfrage an dessen Rechtsvertreter Ende August 2013 einen ersten Schritt zur Durchführung einer Anhörung; eine solche fand indessen infolge Unpässlichkeit des Rechtsvertreters und Fehlen eines neuen Terminvorschlag seitens des BFM nicht statt. Das Bundesamt hat nicht begründet, inwiefern es wegen nicht selbst zu verantwortender Umstände bis heute nicht in der Lage gewesen sein soll, über das Asylgesuch vom 17. November 2010 zu entscheiden. Nicht nachvollziehbar ist insbesondere, weshalb seit dem Tod des Vaters vor rund (...) Monaten für den Beschwerdeführer immer noch kein Anhörungstermin festgesetzt worden ist, obwohl dieser wiederholt um einen solchen gebeten hat. Die prioritäre Behandlung von Asylgesuchen unbegleiteter Minderjähriger (um einen solchen handelt es sich beim Beschwerdeführer) entspricht der heutigen Praxis in Asylverfahren und wurde mit der am 14. Dezember 2012 von den Räten beschlossenen Revision des Asylgesetzes in Art. 17 Abs. 2bis AsylG explizit verankert. Diesen Verfahrensgrundsatz hat das BFM missachtet, gar auf eine Vernehmlassung zur Rechtsverweigerungsbeschwerde verzichtet und keinerlei Gründe geltend gemacht, welche die überlange Verfahrensdauer im vorliegenden Fall rechtfertigen könnten; solche sind auch den Akten nicht zu entnehmen. Weder erscheint die Sache nach aktuellem Verfahrensstand sonderlich komplex, noch kann die lange Verfahrensdauer dem Beschwerdeführer angelastet werden. Schliesslich ist zu berücksichtigen, dass eine Verfahrensdauer vom Ausmass der vorliegenden zu einer erheblichen Belastung des Gesuchstellers führen kann. Vorliegend fällt dies umso mehr ins Gewicht, als der Beschwerdeführer minderjährig und unbegleitet ist, noch die Schule besucht und (...), was dem Bundesamt bekannt ist.</w:t>
      </w:r>
    </w:p>
    <w:p>
      <w:r>
        <w:rPr>
          <w:b/>
        </w:rPr>
        <w:t>E. 6.3</w:t>
      </w:r>
    </w:p>
    <w:p>
      <w:r>
        <w:t>Die Verfahrensdauer von insgesamt über drei Jahren beziehungsweise von rund (...) Monaten seit dem Tod des Vaters übersteigt die gesetzliche Zeitvorgabe und erweist sich klar als übermässig lang. Das Beschleunigungsgebot von Art. 29 Abs. 1 BV wurde missachtet.</w:t>
      </w:r>
    </w:p>
    <w:p>
      <w:r>
        <w:rPr>
          <w:b/>
        </w:rPr>
        <w:t>E. 6.4</w:t>
      </w:r>
    </w:p>
    <w:p>
      <w:r>
        <w:t>Die Rüge der Rechtsverzögerung erweist sich demnach als begründet. Die Beschwerde ist gutzuheissen, und die Akten sind dem BFM mit der Anweisung zu überweisen, das Asylgesuch des Beschwerdeführers möglichst beförderlich zu behandeln und einer anfechtbaren Verfügung zuzuführen (Art. 20 Abs. 2 AsylG).</w:t>
      </w:r>
    </w:p>
    <w:p>
      <w:r>
        <w:rPr>
          <w:b/>
        </w:rPr>
        <w:t>E. 7.1</w:t>
      </w:r>
    </w:p>
    <w:p>
      <w:r>
        <w:t>Bei diesem Ausgang des Verfahrens sind keine Verfahrenskosten aufzuerlegen (Art. 63 Abs.1 VwVG).</w:t>
      </w:r>
    </w:p>
    <w:p>
      <w:r>
        <w:rPr>
          <w:b/>
        </w:rPr>
        <w:t>E. 7.2</w:t>
      </w:r>
    </w:p>
    <w:p>
      <w:r>
        <w:t>Obsiegende und teilweise obsiegende Parteien haben Anspruch auf eine Parteientschädigung für die ihnen erwachsenen notwendigen Kosten (Art. 64 Abs. 1 VwVG; Art. 7 Abs. 1 und 4 VGKE). Der Rechtsvertreter hat dem Gericht eine Honorarnote zugestellt, welche (rechnerische) Unstimmigkeiten aufweist und nicht in allen Teilen nachvollziehbar ist. Unter Berücksichtigung der massgebenden Berechnungsfaktoren (Art. 8, 9 und 11 VGKE) ist die Parteientschädigung auf Fr. 500.- (inkl. Auslagen und Mehrwertsteuer) festzusetzen. Die Vorinstanz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