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E-6700/2011 vom 21. Dezember 2011</w:t>
      </w:r>
    </w:p>
    <w:p>
      <w:r>
        <w:t>Bundesverwaltungsgericht, 2011-12-21, DE</w:t>
      </w:r>
    </w:p>
    <w:p>
      <w:r>
        <w:rPr>
          <w:b/>
        </w:rPr>
        <w:t xml:space="preserve">Quelle: </w:t>
      </w:r>
      <w:r>
        <w:t>https://mcp.opencaselaw.ch/entscheid/bvger_E-6700_2011</w:t>
      </w:r>
    </w:p>
    <w:p>
      <w:r>
        <w:t>FR: TAF E-6700/2011 du 21 décembre 2011</w:t>
      </w:r>
    </w:p>
    <w:p>
      <w:r>
        <w:t>IT: TAF E-6700/2011 del 21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Parteieingaben in Verfahren vor den Behörden des Bundes sind in einer Amtssprache - in der Regel Deutsch, Französisch oder Italienisch - abzufassen (Art. 70 Abs. 1 der Bundesverfassung der Schweizerischen Eidgenossenschaft vom 18. April 1999 [BV, SR 101] und Art. 33a Abs. 1 VwVG). Die Beschwerdeschrift ist vorliegend zwar nicht in einer der erwähnten Sprachen verfasst, aus verfahrensökonomischen Gründen ist die Beschwerde jedoch in der vorliegenden Form entgegenzunehmen. Der vorliegende Entscheid ergeht in deutscher Sprache (vgl. Art. 33a Abs. 2 VwVG i.V.m. Art. 37 VGG).</w:t>
      </w:r>
    </w:p>
    <w:p>
      <w:r>
        <w:rPr>
          <w:b/>
        </w:rPr>
        <w:t>E. 1.4</w:t>
      </w:r>
    </w:p>
    <w:p>
      <w:r>
        <w:t>Da kein Zustellungsdatum ersichtlich ist, steht vorliegend der Zeitpunkt der Eröffnung der angefochtenen Verfügung nicht fest. Die Beschwerdefrist wurde mit der am 29. November 2011 in der Schweizer Vertretung in Khartum eingegangenen Beschwerde aber selbst dann, wenn die Verfügung zum frühesten möglichen Termin eröffnet worden sein sollte, eingehalten.</w:t>
      </w:r>
    </w:p>
    <w:p>
      <w:r>
        <w:rPr>
          <w:b/>
        </w:rPr>
        <w:t>E. 1.5</w:t>
      </w:r>
    </w:p>
    <w:p>
      <w:r>
        <w:t>Die Beschwerde ist somit frist- und im Übrigen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Nach Art. 20 Abs. 2 und 3 AsylG ist die Einreise in die Schweiz zu bewilligen, wenn eine unmittelbare Gefahr für Leib, Leben oder Freiheit aus einem Grund nach Art. 3 AsylG glaubhaft gemacht wird, das heisst im Hinblick auf die Anerkennung als Flüchtling und Asylgewährung, oder aber wenn für die Dauer der näheren Abklärung des Sachverhalts ein weiterer Aufenthalt im Wohnsitz- oder Aufenthaltsstaat oder die Ausreise in einen Drittstaat nicht zumutbar erscheint.</w:t>
      </w:r>
    </w:p>
    <w:p>
      <w:r>
        <w:rPr>
          <w:b/>
        </w:rPr>
        <w:t>E. 4.2</w:t>
      </w:r>
    </w:p>
    <w:p>
      <w:r>
        <w:t>Gemäss Art. 3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4.3</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Entscheidungen und Mitteilungen der vormaligen Schweizerischen Asylrekurskommission [EMARK] 2004 Nr. 21 E. 4a S. 139). Dabei sind namentlich die Beziehungsnähe zur Schweiz, die Möglichkeit der Schutzgewährung durch einen anderen Staat, die Beziehungsnähe zu anderen Staaten, die praktische Möglichkeit und objektive Zumutbarkeit der anderweitigen Schutzsuche sowie die voraussichtlichen Eingliederungs- und Assimilationsmöglichkeiten in der Schweiz in Betracht zu ziehen (vgl. EMARK 1997 Nr. 15 E. 2f S. 131 ff.).</w:t>
      </w:r>
    </w:p>
    <w:p>
      <w:r>
        <w:rPr>
          <w:b/>
        </w:rPr>
        <w:t>E. 5</w:t>
      </w:r>
    </w:p>
    <w:p>
      <w:r>
        <w:t>Zur Begründung seiner Verfügung hielt das BFM im Wesentlichen fest, wenn der Sachverhalt bereits aufgrund der schriftlichen Eingaben entscheidreif erstellt sei, könne auf eine Anhörung des Beschwerdeführers verzichtet werden, sofern ihm das rechtliche Gehör gewährt werde. Unter Einbezug des Schreibens des Beschwerdeführers vom 7. Juli 2011 sei die Aktenlage als rechtsgenüglich erstellt zu erachten. Aus seinen Schilderungen im Asylgesuch vom 28. Dezember 2010 und seinen ergänzenden Stellungnahmen vom 3. März 2011 sowie vom 7. Juli 2011 gehe hervor, dass seine Schwierigkeiten mit den eritreischen Behörden asylbeachtlich seien. Das BFM prüfte sodann, ob aufgrund des Aufenthalts des Beschwerdeführers im Sudan einer Asylgewährung durch die Schweiz Art. 52 Abs. 2 AsylG entgegenstehe. Dabei räumte es ein, es sei nicht zu verkennen, dass die Lage für die eritreischen Flüchtlinge im Sudan nicht einfach sei. Es bestünden aber keine konkreten Anhaltspunkte zur Annahme, dass ein weiterer Verbleib im Sudan dem Beschwerdeführer nicht zumutbar oder nicht möglich sei. Die von ihm geäusserte Befürchtung, nach Eritrea verschleppt zu werden, sei klarerweise als unbegründet zu erachten. Das BFM verfüge mit der Schweizer Botschaft im Sudan über sehr gute Informationen über die Lage vor Ort. Gemäss gesicherten Erkenntnissen sei das Risiko einer Deportation oder Verschleppung für Eritreer, die im Sudan lebten, sehr gering. In jüngster Vergangenheit seien auch keine Rückführungen nach Eritrea bekannt geworden. Mit Verweis auf die Praxis des Bundesverwaltungsgerichts zu ähnlich gelagerten Fällen stellte das BFM fest, dass der weitere Verbleib im Sudan für den Beschwerdeführer zumutbar sei, wobei er sich insbesondere vom UNHCR als Flüchtling registrieren lassen könne, worauf er einem Flüchtlingslager zugeteilt würde, wo er die nötige Versorgung erhielte. Auch wenn sich die Aufenthaltsberechtigung solcher registrierter Flüchtlinge nicht auf den ganzen Sudan erstrecke, sondern sich auf das zugeteilte Lager beschränke, sei es dem Beschwerdeführer zumutbar, in einem solchen Lager Schutz zu suchen. Demnach seien gemäss Art. 52 Abs. 2 AsylG die Einreise zu verweigern und das Asylgesuch abzulehnen. 6.Vorweg ist festzustellen, dass das BFM in casu den Sachverhalt in Beachtung der Rechtsprechung des Bundesverwaltungsgerichts (vgl. BVGE 2007/30) festgestellt hat. Ob der Beschwerdeführer in seinem Heimatstaat in asylbeachtlicher Weise verfolgt wird, kann offen gelassen werden, weil, wie nachfolgend aufzuzeigen ist, ihm der weitere Verbleib im Sudan im Sinne von Art. 52 Abs. 2 AsylG zugemutet werden kann und er dort nicht an Leib und Leben oder der Freiheit nach einem Grund gemäss Art. 3 AsylG unmittelbar gefährdet ist. Die Vorinstanz hat mit Verweis auf das Urteil des Bundesverwaltungsgerichts vom 29. April 2010 (D-2047/2010) zu Recht festgehalten, dass Deportationen nach Eritrea zwar vorgekommen seien, aber nicht flächendeckend erfolgten, dass das Risiko einer Verschleppung oder Deportation des Beschwerdeführers sehr gering sei, zumal keine konkreten Hinweise auf eine drohende Deportation vorlägen, und die Befürchtung des Beschwerdeführers, verschleppt oder deportiert zu werden, somit unbegründet sei. Mit Blick auf das zitierte Urteil des Bundesverwaltungsgerichts ist der Vorinstanz darin zuzustimmen, dass der Verbleib im Sudan bzw. das Bemühen um Aufnahme als Flüchtling in einem der vom UNHCR geführten Lager aufgrund der dortigen Situation zumutbar ist. Die Auffassung des BFM, wonach das Asylgesuch abzulehnen und die Einreise zu verweigern sei, ist auch deshalb zu bestätigen, weil die Voraussetzungen für eine Bewilligung der Einreise in die Schweiz gestützt auf Art. 20 Abs. 2 und 3 AsylG nicht erfüllt sind, zumal dem Beschwerdeführer im Sudan keine unmittelbare asylrelevante Gefährdung droht und er somit nicht auf den Schutz der Schweiz angewiesen ist, er ferner an keinen aktenkundigen gesundheitlichen Problemen leidet und sich somit im Sudan auch nicht in einer existenziellen Notlage befindet. Auf Beschwerdeebene macht er geltend, Missverständnisse aufgrund sprachlicher Verständigungsprobleme hätten den abweisenden Entscheid des BFM verursacht. Er bringt aber nichts vor, was geeignet wäre, die Einschätzung des Bundesverwaltungsgerichts zu ändern, sondern wiederholt im Wesentlichen seine im erstinstanzlichen Verfahren gemachten Vorbringen, bestreitet insbesondere die Schutzwilligkeit und -fähigkeit des sudanesischen Staates und beklagt sich über die medizinische und anderweitige Versorgung im Sudan. Daher erübrigt es sich, darauf näher einzugehen. Insbesondere liegen keine konkreten Hinweise vor, welche die Lagebeurteilung in Frage stellen würden. 7.Zusammenfassend ist festzustellen, dass die die Einreise in die Schweiz zur Abklärung des Sachverhalts nicht erforderlich ist und ein Asylausschlussgrund gemäss Art. 52 Abs. 2 AsylG vorliegt. Das BFM hat demnach dem Beschwerdeführer zu Recht die Einreise in die Schweiz verweigert beziehungsweise dessen Asylgesuch abgelehnt. 8.Aus diesen Erwägungen ergibt sich, dass die angefochtene Verfügung Bundesrecht nicht verletzt, den rechtserheblichen Sachverhalt richtig und vollständig feststellt und angemessen ist (Art. 106 AsylG). Die Beschwerde ist nach dem Gesagten abzuweisen. 9.Bei diesem Ausgang des Verfahrens wären dem Beschwerdeführer die Kosten des Verfahrens aufzuerlegen (Art. 63 Abs. 1 VwVG). Aus verwaltungsökonomischen Gründen und in Anwendung von Art. 63 Abs. 1 in fine VwVG und Art. 6 Bst. b des Reglements vom 21. Februar 2008 über die Kosten und Entschädigungen vor dem Bundesverwaltungsgericht (VGKE, SR 173.320.2) ist allerdings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