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E-6697/2010 vom 29. Juni 2011</w:t>
      </w:r>
    </w:p>
    <w:p>
      <w:r>
        <w:t>Bundesverwaltungsgericht, 2011-06-29, FR</w:t>
      </w:r>
    </w:p>
    <w:p>
      <w:r>
        <w:rPr>
          <w:b/>
        </w:rPr>
        <w:t xml:space="preserve">Quelle: </w:t>
      </w:r>
      <w:r>
        <w:t>https://mcp.opencaselaw.ch/entscheid/bvger_E-6697_2010</w:t>
      </w:r>
    </w:p>
    <w:p>
      <w:r>
        <w:t>FR: TAF E-6697/2010 du 29 juin 2011</w:t>
      </w:r>
    </w:p>
    <w:p>
      <w:r>
        <w:t>IT: TAF E-6697/2010 del 29 giugno 2011</w:t>
      </w:r>
    </w:p>
    <w:p>
      <w:pPr>
        <w:pStyle w:val="Heading2"/>
      </w:pPr>
      <w:r>
        <w:t>Regeste</w:t>
      </w:r>
    </w:p>
    <w:p>
      <w:r>
        <w:t>Renvoi et exécution du renvoi (recours réexamen)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en matière d'exécution du renvoi peuvent être contestées devant le Tribunal conformément à l'art. 105 de la loi sur l'asile du 26 juin 1998 (LAsi, RS 142.31)</w:t>
      </w:r>
    </w:p>
    <w:p>
      <w:r>
        <w:rPr>
          <w:b/>
        </w:rPr>
        <w:t>E. 1.2</w:t>
      </w:r>
    </w:p>
    <w:p>
      <w:r>
        <w:t>L'intéressé a qualité pour recourir. Présenté dans la forme et le délai prescrits par la loi, le recours est recevable (art. 48 et 52 PA et 108 al. 1 LAsi).</w:t>
      </w:r>
    </w:p>
    <w:p>
      <w:r>
        <w:rPr>
          <w:b/>
        </w:rPr>
        <w:t>E. 2.1</w:t>
      </w:r>
    </w:p>
    <w:p>
      <w:r>
        <w:t>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 l'art. 4 de l'ancienne Constitution fédérale du 29 mai 1874 (aCst.), qui correspond sur ce point à l'art. 29 al. 2 de la Constitution fédérale (Cst., RS 101). L'autorité administrative n'est toutefois tenue de s'en saisir qu'à certaines conditions. Tel est le cas, selon la jurisprudence et la doctrine, lorsque le requérant invoque l'un des motifs de révision prévus par l'art. 66 PA , en particulier des faits nouveaux importants ou des moyens de preuves nouveaux qui n'avaient pas pu être invoqués dans la procédure ordinaire (« demande de réexamen qualifiée »), ou lorsque les circonstances (de fait voire de droit) se sont modifiées dans une mesure notable depuis le prononcé de la décision matérielle mettant fin à la procédure ordinaire. Dans ces hypothèses, la demande de réexamen doit être considérée comme un moyen de droit extraordinaire (cf. Arrêt du Tribunal fédéral [ATF] 127 I 133 consid. 6, ATF 124 II 1 consid. 3a, ATF 120 Ib 42 consid. 2b ; Jurisprudence et informations de la Commission suisse de recours en matière d'asile [JICRA] 2006 n° 20 consid. 2.1 p. 213, JICRA 2003 n° 17 p. 101ss, JICRA 2003 n° 7 consid. 1 p. 42s., JICRA 1995 n° 21 consid. 1b p. 203s., JICRA 1995 n° 14 consid. 5 p. 129s., JICRA 1993 n° 25 consid. 3 p. 178s., et jurisp. citée ; Ulrich Häfelin / Georg Müller / Felix Uhlmann, Allgemeines Verwaltungsrecht, 5ème éd., Zurich 2006, n. 1833, p. 392 ; Karin Scherrer, in Praxiskommentar VwVG, Zurich Bâle Genève 2009, n. 16s. ad art. 66 PA, p. 1303s. ; André Grisel, Traité de droit administratif, Neuchâtel 1984, vol. II, p. 947ss ; Alfred Kölz / Isabelle Häner, Verwaltungsverfahren und Verwaltungsrechts-pflege des Bundes, Zurich 1998, p. 156ss ; Ursina Beerli-Bonorand, Die ausserordentlichen Rechtsmittel in der Verwaltungsrechtspflege des Bundes und der Kantone, Zurich 1985, p. 171ss, spéc. p. 179 et 185s., et réf. cit.).</w:t>
      </w:r>
    </w:p>
    <w:p>
      <w:r>
        <w:rPr>
          <w:b/>
        </w:rPr>
        <w:t>E. 2.2</w:t>
      </w:r>
    </w:p>
    <w:p>
      <w:r>
        <w:t>Fondée sur la modification des circonstances, une demande de réexamen tend à faire adapter par l'autorité de première instance sa décision parce que, depuis son prononcé, s'est créée une situation nouvelle dans les faits ou sur le plan juridique (une modification du droit objectif, respectivement un changement de législation) qui constitue une modification notable des circonstances (cf. JICRA 1995 n° 21 consid. 1b p. 203ss et réf. cit. ; ATF 109 Ib 253 et jurisp. cit. ; cf. également Ulrich Häfelin / Georg Müller / Felix Uhlmann, op. cit., n. 1833, p. 392 ; Alfred Kölz / Isabelle Häner, op. cit., p. 160 ; René Rhinow / Heinrich Koller / Christina Kiss-Peter, Öffentliches Prozessrecht und Grundzüge des Justizverfassungsrechts des Bundes, Bâle/Francfort-sur-le-Main 1994, p. 12ss).</w:t>
      </w:r>
    </w:p>
    <w:p>
      <w:r>
        <w:rPr>
          <w:b/>
        </w:rPr>
        <w:t>E. 3.1</w:t>
      </w:r>
    </w:p>
    <w:p>
      <w:r>
        <w:t>Selon la jurisprudence toujours, les faits nouveaux et preuves nouvelles au sens des art. 66 al. 2 let. a PA et 123 al. 2 let. a LTAF précités ne peuvent entraîner la reconsidération d'une décision non contestée de première instance, respectivement la révision d'une décision sur recours de la Commission ou d'un arrêt du Tribunal, que s'ils sont importants, c'est à-dire de nature à modifier l'état de fait retenu en procédure ordinaire et à conduire à un jugement différent en fonction d'une appréciation juridique correcte (cf. ATF 2F_2/2008 du 31 mars 2008 consid. 2, jurisprudence et doctrine citée ; JICRA 1995 no 9 consid. 5 p. 80s. ; voir aussi Yves Donzallaz, Loi sur le Tribunal fédéral, Commentaire, Berne 2008, p. 1694s. et 1697, ch. 4704 et 4709 et Bernhard Waldmann/Philippe Weissenberger, Praxiskommentar VwVG, Zürich/Basel/Genf 2009, ad art 66, no 25 à 27, p. 1306s.). En outre, dits faits ou moyens de preuve nouveaux ne peuvent être invoqués que si l'intéressé s'est trouvé dans l'impossibilité non fautive de les faire valoir en procédure ordinaire (cf. arrêt du Tribunal fédéral des assurances U 335/05 du 12 septembre 2006 consid. 3.2 ainsi que l'ATF 2A.214/2005 du 26 avril 2005 consid. 5.1 ; cf. également JICRA 1995 n° 9 consid. 5s. p. 81ss et Yves Donzallaz, op. cit., p. 1695s., ch. 4706 ; Niggli / Übersax /Wiprächtiger [Hrsg], Basler Kommentar, Bundesgerichtsgesetz, Bâle 2008, p. 1187, ch. 8, ; André Moser, Michael Beusch, Lorenz Kneubühler, Prozessieren vor dem Bundesverwaltungsgericht, Bâle 2008, p. 249s., ch. 5.47s. et Bernhard Waldmann/Philippe Weissenberger, op. cit., ad art 66, no 28, p. 1306).</w:t>
      </w:r>
    </w:p>
    <w:p>
      <w:r>
        <w:rPr>
          <w:b/>
        </w:rPr>
        <w:t>E. 3.2</w:t>
      </w:r>
    </w:p>
    <w:p>
      <w:r>
        <w:t>En l'occurrence, force est d'admettre, au préalable, que les problèmes somatiques de l'intéressé, tel qu'attestés par le certificat médical du 14 avril 2010, auraient pu et dû être invoqués en procédure ordinaire et dans le cadre de la première procédure extraordinaire. Dans la mesure où le rapport médical du 14 avril 2010 est antérieur à l'arrêt du Tribunal du 27 mai 2010, il s'agit d'un fait ouvrant la voie de la révision au sens des art. 121 à 123 de la loi du 17 juin 2005 sur le Tribunal fédéral (LTF, RS 173.110), applicables par renvoi de l'art. 45 LTAF. Par conséquent, la requête adressée à l'ODM constituait, sur ce point, une demande de révision qui, en application de l'art. 8 al. 1 PA, aurait dû être transmise au Tribunal, alors seul habilité à en connaître (cf. art. 123 al. 2 let. a LTF, art. 66 PA). La question de savoir si la révision de l'arrêt du Tribunal du 27 mai 2010 pouvait effectivement être requise (cf. ATF 111 Ib 209 consid. 1 p. 210 s.) ou s'il avait fallu déclarer ce motif irrecevable en application de l'art. 125 LTF peut cependant rester indécise. En effet, l'état de santé psychique du recourant, tel qu'attesté par le courrier du 11 juin 2010 et les certificats médicaux des 14 juillet et 17 novembre 2010, constitue, quant à lui, un élément de fait nouveau postérieur à l'arrêt du Tribunal précité, ouvrant donc la voie du réexamen, au vu de la modification de la situation, l'ODM l'ayant traité à juste titre comme tel. Dans ce contexte, il convient, dès lors, de prendre en compte l'ensemble de la situation médicale de l'intéressé, celle-ci s'étant détériorée du fait de l'apparition des troubles psychiques avancés, et d'apprécier si elle s'est considérablement modifiée au point de justifier la modification de la décision prise au terme de la procédure ordinaire, en matière d'exécution du renvoi.</w:t>
      </w:r>
    </w:p>
    <w:p>
      <w:r>
        <w:rPr>
          <w:b/>
        </w:rPr>
        <w:t>E. 4.1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4.3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w:t>
      </w:r>
    </w:p>
    <w:p>
      <w:r>
        <w:t>Le caractère licite de l'exécution du renvoi de l'intéressé n'a pas à être examiné, dans le cas d'espèce, dans la mesure où cette question a été définitivement tranchée dans l'arrêt du Tribunal du 27 mai 2010 et où aucun élément nouveau n'a été allégué à ce titre ni dans la demande de réexamen déposée le 4 août 2010 ni dans le recours formé le 16 septembre 2010.</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JICRA 1999 n° 28 p. 170 et jurisp. citée ; 1998 n° 22 p. 191).</w:t>
      </w:r>
    </w:p>
    <w:p>
      <w:r>
        <w:rPr>
          <w:b/>
        </w:rPr>
        <w:t>E. 6.2</w:t>
      </w:r>
    </w:p>
    <w:p>
      <w:r>
        <w:t>Il est notoire que l'Inde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6.3</w:t>
      </w:r>
    </w:p>
    <w:p>
      <w:r>
        <w:t>S'agissant spécifiquement des personnes en traitement médical en Suisse, le Tribunal rappelle que l'exécution du renvoi ne devient inexigible qu'à partir du moment où, en raison de l'absence de possibilités de traitement dans le pays d'origine, l'état de santé de la personne concernée se dégraderait très rapidement, au point de conduire, d'une manière certaine, à la mise en danger concrète de l'intégrité physique ou psychique (cf. JICRA 2003 n° 24 p. 158). En revanche, l'art. 83 al. 4 LEtr ne saurait faire échec à une décision de renvoi au simple motif que l'infrastructure hospitalière et le savoir-faire médical prévalant en Suisse correspondent à un standard élevé non accessible dans le pays d'origine ou le pays tiers de résidence. Ainsi, il ne suffit pas en soi de constater, pour admettre l'inexigibilité de l'exécution du renvoi, qu'un traitement prescrit sur la base de normes suisses ne pourrait être poursuivi dans le pays de l'étranger. Ce qui compte, en effet, c'est l'accès à des soins, cas échéant alternatifs, qui, tout en correspondant aux standards du pays d'origine,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Si les soins essentiels nécessaires peuvent donc être assurés dans le pays d'origine ou de provenance de l'étranger concerné, l'exécution du renvoi dans l'un ou l'autre de ces pays sera raisonnablement exigible.</w:t>
      </w:r>
    </w:p>
    <w:p>
      <w:r>
        <w:rPr>
          <w:b/>
        </w:rPr>
        <w:t>E. 6.4</w:t>
      </w:r>
    </w:p>
    <w:p>
      <w:r>
        <w:t>En outre, il convient de noter que, bien que l'Inde dispose de manière générale d'infrastructures médicales publiques et privées, la qualité du système de santé varie considérablement : Ainsi, dans les centres urbains, des soins médicaux de bonne qualité sont disponibles puisqu'ils s'approchent des standards européens alors qu'un traitement médical adéquat est généralement très limité, voire inexistant, dans les régions rurales. Dans les hôpitaux gouvernementaux, chacun peut obtenir une consultation gratuite. Néanmoins, les temps d'attente sont très longs et les patients doivent payer pour les médicaments, les habits et la nourriture, généralement amenés par les membres de sa famille. La plupart des médicaments, parfois sous forme générique, importés de l'étrangers ou produits en Inde, sont disponibles à bas prix. Il manque toutefois du personnel médical en raison des postes restant vacants et d'un taux d'absentéisme élevé. Cette situation pousse certains malades à se tourner vers des cliniques privées, existantes dans la plupart des villes, même si les soins qui y sont dispensés sont relativement chers. Si la conclusion d'une assurance maladie est possible, moins de cinq pour cents de la population est couverte pour des raisons de coûts. Concernant les maladies psychiques plus spécifiquement, des possibilités de traitements existent également dans des centres publics ou privés urbains, très peu de professionnels se trouvant dans les régions rurales. En outre, les personnes concernées ou les membres de leur famille peuvent s'adresser à des organisations non-gouvernementales lesquelles apportent différents types de soutiens sous forme de conseils et par des programmes de prévention ou de réhabilitation (cf. UK Border Agency, India, 4 janvier 2010, p. 125 ss et références citées, US Department of State, Bureau of Consular Affairs, Consular Information Sheet, India, 29 mai 2008, http://travel.state.gov/travel/cis_pa_tw/cis/cis_1139.html, consulté le 22.03.2011, "Providing healthcare through appropriate patent system in India" www.welfareacademy.org consulté le 17 mars 2011, World Health Organisation, Country Health System Profile, India, www.searo.who.int/en http://www.who.int/mental_health/evidence/atlas/profiles_countries_e_i.pdf, consultés le 22.03.2011 et www.mapsofindia.com/delhi/health-care-system consulté le 17 mars 2011).</w:t>
      </w:r>
    </w:p>
    <w:p>
      <w:r>
        <w:rPr>
          <w:b/>
        </w:rPr>
        <w:t>E. 6.5</w:t>
      </w:r>
    </w:p>
    <w:p>
      <w:r>
        <w:t>Quant à la situation personnelle du recourant, le Tribunal retient tout d'abord que dans le cadre de la procédure ordinaire il a été constaté que le recourant n'était vraisemblablement pas originaire de la province Jammu-et-Cachemire, de sorte que l'exécution de son renvoi dans cette région rurale périphérique de l'Inde n'a pas à être examinée. Il ressort, ensuite, des éléments du dossier, que la soeur de l'intéressé, au moins, est établie à New Dehli (cf. pv. de son audition sommaire p. 3). Celle-ci pourra donc l'aider à s'installer dans cette ville où il pourra obtenir les soins médicaux dont il a besoin. Il existe, en effet, à New Dehli des infrastructures hospitalières, comparables aux standards européens, susceptibles de lui prodiguer le suivi nécessaire au maintien de son état de santé, les médicaments y étant également disponibles (cf. consid. 6.4 ci-dessous et références citées). Il appartient donc à l'intéressé de reprendre contact avec les membres de sa famille (ses soeurs, son frère et son oncle qui aurait d'ailleurs financé son voyage, cf. pv. de l'audition fédérale p. 7) afin qu'ils puissent également le soutenir moralement et financièrement à son retour dans cette ville. Il n'est d'ailleurs pas établi que l'intéressé n'a vécu que trois jours à New Dehli (cf. pv. de son audition sommaire p. 2, pv. de l'audition fédérale p. 10). Outre le fait qu'il pourra compter sur un réseau familial, il faut également relever que, contrairement à ce qu'il a invoqué, il n'appartenait pas à une classe sociale défavorisée puisqu'il ou du moins sa famille, était propriétaire d'un restaurant. L'intéressé pourra, en outre, bénéficier d'une aide médicale au retour afin d'éviter toute interruption de son traitement.</w:t>
      </w:r>
    </w:p>
    <w:p>
      <w:r>
        <w:rPr>
          <w:b/>
        </w:rPr>
        <w:t>E. 6.6</w:t>
      </w:r>
    </w:p>
    <w:p>
      <w:r>
        <w:t>Pour ces motifs, le Tribunal considère que les problèmes de santé physiques et psychiques de l'intéressé ne sont pas d'une gravité telle qu'ils constituent un empêchement à son renvoi, dans la mesure où il pourra poursuivre son traitement à New Dehli. Partant, l'exécution du renvoi doit être considérée comme raisonnablement exigible.</w:t>
      </w:r>
    </w:p>
    <w:p>
      <w:r>
        <w:rPr>
          <w:b/>
        </w:rPr>
        <w:t>E. 7</w:t>
      </w:r>
    </w:p>
    <w:p>
      <w:r>
        <w:t>Cela étant, l'exécution du renvoi doit être déclarée conforme aux dispo­sitions légales. Il s'ensuit que le recours doit être rejeté.</w:t>
      </w:r>
    </w:p>
    <w:p>
      <w:r>
        <w:rPr>
          <w:b/>
        </w:rPr>
        <w:t>E. 8</w:t>
      </w:r>
    </w:p>
    <w:p>
      <w:r>
        <w:t>Les conclusions du recours n'étant pas d'emblée vouées à l'échec et l'intéressé ayant établi son indigence, la demande d'assistance judiciaire partielle est admise. Il est donc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