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E-6694/2011 vom 22. Dezember 2011</w:t>
      </w:r>
    </w:p>
    <w:p>
      <w:r>
        <w:t>Bundesverwaltungsgericht, 2011-12-22, DE</w:t>
      </w:r>
    </w:p>
    <w:p>
      <w:r>
        <w:rPr>
          <w:b/>
        </w:rPr>
        <w:t xml:space="preserve">Quelle: </w:t>
      </w:r>
      <w:r>
        <w:t>https://mcp.opencaselaw.ch/entscheid/bvger_E-6694_2011</w:t>
      </w:r>
    </w:p>
    <w:p>
      <w:r>
        <w:t>FR: TAF E-6694/2011 du 22 décembre 2011</w:t>
      </w:r>
    </w:p>
    <w:p>
      <w:r>
        <w:t>IT: TAF E-6694/2011 del 22 dicembre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- soweit darauf eingetreten wird - im Sinne der Erwägungen gutgeheissen</w:t>
      </w:r>
    </w:p>
    <w:p>
      <w:r>
        <w:rPr>
          <w:b/>
        </w:rPr>
        <w:t>E. 2</w:t>
      </w:r>
    </w:p>
    <w:p>
      <w:r>
        <w:t>Die Verfügung des BFM vom 2. Dezember 2011 wird aufgehoben und die Sache zur Durchführung der notwendigen Abklärungen sowie neuer Entscheidfindung an die Vorinstanz zurückgewiesen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Es wird keine Parteientschädigung ausgerichtet.</w:t>
      </w:r>
    </w:p>
    <w:p>
      <w:r>
        <w:rPr>
          <w:b/>
        </w:rPr>
        <w:t>E. 5</w:t>
      </w:r>
    </w:p>
    <w:p>
      <w:r>
        <w:t>Dieses Urteil geht an den Beschwerdeführer, dessen Vertrauensperson sowie dessen Vertretungsbeistand, das BFM und die zuständige kantonale Behörde. Die Einzelrichterin: Die Gerichtsschreiberin: Christa Luterbacher Sandra Bodenmann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