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E-6691/2010 vom 20. Oktober 2011</w:t>
      </w:r>
    </w:p>
    <w:p>
      <w:r>
        <w:t>Bundesverwaltungsgericht, 2011-10-20, DE</w:t>
      </w:r>
    </w:p>
    <w:p>
      <w:r>
        <w:rPr>
          <w:b/>
        </w:rPr>
        <w:t xml:space="preserve">Quelle: </w:t>
      </w:r>
      <w:r>
        <w:t>https://mcp.opencaselaw.ch/entscheid/bvger_E-6691_2010</w:t>
      </w:r>
    </w:p>
    <w:p>
      <w:r>
        <w:t>FR: TAF E-6691/2010 du 20 octobre 2011</w:t>
      </w:r>
    </w:p>
    <w:p>
      <w:r>
        <w:t>IT: TAF E-6691/2010 del 20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Eine solche Ausnahme gemäss Art. 83 Bst. d Ziff. 1 BGG ist vorliegend nicht gegeben, so dass das Bundesverwaltungsgericht in diesem Fall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Auf die Durchführung eines Schriftenwechsels wurde vorliegend verzichtet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ihres Entscheids führte die Vorinstanz aus, die Ausführungen des Beschwerdeführers zu seinen angeblichen Fluchtgründen wegen der politischen Aktivitäten seines Bruders seien nicht glaubhaft, zumal das BFM dessen Asylgesuch mit Verfügung vom 2. August 2010 wegen Unglaubhaftigkeit im Sinne von Art. 7 AsylG abgewiesen habe. Damit könne der Beschwerdeführer auch nichts zu seinen Gunsten ableiten. Was die von ihm selbst ab März 2008 geltend gemachten politischen Aktivitäten und die damit verbundenen Behelligungen seitens der Behörden anbelange, seien seine Schilderungen stereotyp und wenig überzeugend ausgefallen, was insgesamt den Eindruck von nicht selbst Erlebtem erwecke. Dies erstaune umso mehr, als dass er aus einer politisch interessierten Familie stamme, gewisse seiner Verwandten seit Jahren politisch aktiv seien und sein Bruder, dem er regimekritische Nachrichten und Informationen von Drittpersonen übermittelt habe, seit Jahren im Ausland lebe. Zudem sei die Art und Weise wie er im Iran diese Informationen schriftlich verfasst haben solle, um sie in einem Cyber-Café seinem Bruder per Internet zu übermitteln, nicht nachvollziehrbar, zumal eine Person, welche tatsächlich verfolgt werde, ein Mindestmass an Sicherheitsvorkehrungen treffen würde, um diese Nachrichten zu übermitteln. Auch vor dem Hintergrund, dass er und seine Angehörigen seit der Flucht seines Bruders bereits mehrmals Schwierigkeiten mit den iranischen Behörden gehabt hätten, wäre ein solches Vorgehen viel zu gefährlich gewesen. Aus denselben Gründen sei auch unerklärlich und unglaubhaft, weshalb der Beschwerdeführer diese schriftlichen Nachrichtenentwürfe bei sich zu Hause aufbewahrt haben solle. Ebenso erscheine zweifelhaft, dass diese erst anlässlich einer Hausdurchsuchung nach seiner Flucht von den Sicherheitsbehörden gefunden und beschlagnahmt worden seien, obschon diese sein Haus bereits mehrmals durchsucht hätten, so unter anderem am Tag seiner Flucht. Den Ausführungen zufolge habe der Beschwerdeführer in der Zeit zwischen März 2008 und November 2008 bei seinen Aktivitäten nicht die geringsten Sicherheitsmassnahmen ergriffen, was nicht dem Verhalten einer staatsgefährdenden oppositionellen Person entspreche. Vielmehr habe er alles daran gesetzt, damit er durch seine Artikel, die mit seinem Namen versehen und vom Bruder ins Internet gestellt worden seien, leicht identifizierbar und aufzufinden seien. Dieses Verhalten sei derart offenkundig, dass sich die Frage aufdränge, ober er damit zusätzliche Gründe für sein Asylgesuch habe schaffen wollen. Bei dieser Sachlage sei offensichtlich, dass sich der Beschwerdeführer trotz der unter seinem Namen ins Ausland übermittelten Artikel und Informationen nicht derart exponiert habe, dass er durch die iranischen Behörden verfolgt wäre und Übergriffe zu gewärtigen hätte. Dass ihn die Sicherheitsbehörden trotz seines Geständnisses, regimekritisch aktiv zu sein, und im Hinblick auf die zu erwartende Gerichtsvorladung trotzdem gegen Bezahlung einer Kaution freigelassen hätten, scheine in Anbetracht seiner familiären Vorgeschichte und der Strenge des zu erwartenden Urteils unwahrscheinlich. Auch wenn den Behörden die Tätigkeiten des Beschwerdeführers ab März 2008 bekannt gewesen wären, hätten diese mit Bestimmtheit alles unternommen und wären in aller Härte vorgegangen, um den Beschwerdeführer festzunehmen und den Zugang zum Internetblog seines Bruders zu sperren. Schliesslich habe der Beschwerdeführer weder Beweismittel betreffend die Verurteilung seines Bruders sowie dessen Freilassung nach Bezahlung der Kaution noch Dokumente betreffend die Bezahlung seiner eigenen Kaution beizubringen vermocht, so dass seine Vorbringen insgesamt als unglaubhaft zu werten seien.</w:t>
      </w:r>
    </w:p>
    <w:p>
      <w:r>
        <w:rPr>
          <w:b/>
        </w:rPr>
        <w:t>E. 3.2</w:t>
      </w:r>
    </w:p>
    <w:p>
      <w:r>
        <w:t>In der Beschwerde legt der Beschwerdeführer im Wesentlichen nochmals seine im Rahmen der Befragung und der Anhörungen bereits geschilderten Verfolgungs- und Fluchtmotivation sowie seine politischen Tätigkeiten und das Vorgehen der iranischen Behörden im Umgang mit regimekritischen Aktivitäten im Einzelnen dar und beharrt auf dem Wahrheitsgehalt seiner Darlegungen. Darüber hinaus bringt er vor, anlässlich der direkten Anhörung habe er zu den Umständen seiner eigenen politischen Aktivität ausführlich und detailliert Stellung genommen. Zudem würden seine entsprechenden Aussagen zahlreiche Realkennzeichen enthalten, welche nachvollziehbar und logisch seien. Schliesslich sei festzuhalten, dass die iranischen Behörden keine Akten aus politischen Strafverfahren herausgeben würden, weshalb er nicht in der Lage sei, entsprechende Dokumente erhältlich zu machen.</w:t>
      </w:r>
    </w:p>
    <w:p>
      <w:r>
        <w:rPr>
          <w:b/>
        </w:rPr>
        <w:t>E. 3.3.1</w:t>
      </w:r>
    </w:p>
    <w:p>
      <w:r>
        <w:t>In prozessualer Hinsicht rügt der Beschwerdeführer zunächst die Verletzung der Begründungspflicht der angefochtenen Verfügung, zumal sich das BFM in seinem Entscheid nicht in angemessener Weise mit den von ihm vorgebrachten Gründen bezüglich seiner behördlichen Verfolgung wegen seines ins Ausland geflüchteten Bruders auseinandergesetzt habe. Indem die Vorinstanz ausgeführt habe, dass dem Beschwerdeführer mangels Glaubhaftigkeit der Vorbringen seines Bruders seine Fluchtgründe ebenfalls nicht geglaubt werden könnten, habe es die bundesrechtlichen Anforderungen an die Begründungspflicht verletzt.</w:t>
      </w:r>
    </w:p>
    <w:p>
      <w:r>
        <w:rPr>
          <w:b/>
        </w:rPr>
        <w:t>E. 3.3.2</w:t>
      </w:r>
    </w:p>
    <w:p>
      <w:r>
        <w:t>Gemäss Art. 35 Abs. 1 VwVG ist jede schriftliche Verfügung zu begründen. Das VwVG stellt keine besonders hohen Anforderungen an den Inhalt und den Umfang der Begründung. Die Begründungspflicht folgt auch aus dem Grundsatz des rechtlichen Gehörs nach Art. 29 Abs. 2 der Bundesverfassung der Schweizerischen Eidgenossenschaft vom 18. April 1999 (BV, SR 101). Dazu müssen Betroffene die Möglichkeit haben, eine Verfügung sachgerecht anfechten zu können. Die verfügende Behörde muss daher kurz die Überlegungen darlegen, von denen sie sich leiten liess und auf die sich der Entscheid stützt. Sie darf sich dabei auf die wesentlichen Gesichtspunkte beschränken. Dementsprechend muss sie sich nicht mit allen tatbeständlichen Behauptungen und jedem rechtlichen Einwand auseinandersetzen. Die Würdigung der Parteivorbringen muss sich jedoch insoweit in der Begründung niederschlagen, als die vorgebrachten Behauptungen und Einwände für die Verfügung wesentlich sind.</w:t>
      </w:r>
    </w:p>
    <w:p>
      <w:r>
        <w:rPr>
          <w:b/>
        </w:rPr>
        <w:t>E. 3.3.3</w:t>
      </w:r>
    </w:p>
    <w:p>
      <w:r>
        <w:t>Vorliegend hat das BFM seiner Begründungspflicht im dargelegten Sinne Genüge getan. Dem Beschwerdeführer war es offensichtlich möglich, die Verfügung des BFM sachgerecht anzufechten. Nach dem Gesagten ist eine Verletzung des rechtlichen Gehörs infolge mangelnder Begründung der angefochtenen Verfügung zu verneinen und die entsprechende Rüge abzuweisen.</w:t>
      </w:r>
    </w:p>
    <w:p>
      <w:r>
        <w:rPr>
          <w:b/>
        </w:rPr>
        <w:t>E. 4.1</w:t>
      </w:r>
    </w:p>
    <w:p>
      <w:r>
        <w:t>Wie das BFM kommt auch das Bundesverwaltungsgericht zur Erkenntnis, dass die Aussagen des Beschwerdeführers den Anforderungen an die Glaubhaftigkeit gemäss Art. 7 AsylG nicht standhalten. Daran vermögen auch die im Rahmen der ergänzenden Anhörung vom 30. April 2009 eingereichten Artikel, welche er redigiert habe und von seinem Bruder auf dessen Internetblog (...) aufgeschaltet worden seien, nichts zu ändern, zumal der Beschwerdeführer damit seine Verfolgungsgründe und Behelligungen durch die iranischen Behörden in keiner Weise zu belegen vermag. In diesem Zusammenhang kann dem Beschwerdeführer auch nicht geglaubt werden, dass er am 10. Juli 2007 wegen der Aktivitäten seines Bruders festgenommen worden sei, da dieser den Iran eigenen Angaben zufolge bereits Ende 2006 verlassen hat und seine Internetblogs erst im Februar 2008 (...) respektive im November 2009 (...) aufgeschaltet wurden. Zudem hat der Beschwerdeführer bis heute weder Dokumente, die seine Inhaftierung belegen, noch ein Aufgebot, dass er sich bei den Staatssicherheitsbehörden melden sollte, zu den Akten gelegt. Auch fehlen Belege, welche die Bezahlung seiner Kaution bestätigen, was die Unglaubhaftigkeit seiner Vorbringen zu seiner Fluchtmotivation zusätzlich bekräftigt, weshalb davon ausgegangen werden kann, er stehe wegen seiner politischen Aktivitäten nicht im Fokus der iranischen Sicherheitsbehörden. Der diesbezügliche Einwand in seiner Beschwerde, dass die iranischen Behörden dafür bekannt seien, dass sie keine Akten aus politischen Strafverfahren herausgeben würden, weshalb es dem Beschwerdeführer verwehrt sei, zusätzliche Beweismittel einzureichen, ist als blosse Schutzbehauptung zu werten. Wäre er tatsächlich verfolgt gewesen, könnte vom ihm zumindest erwartet werden, dass er Alles dafür unternehmen würde, um wenigstens das behördliche Aufgebot bei seinen Eltern zu beschaffen. Ferner nimmt der Beschwerdeführer in seiner Rechtsmitteleingabe auch keine substanziierte Stellung zu den einzelnen vorinstanzlichen Vorhaltungen, sondern führt lediglich aus, die Argumente des BFM seien nicht überzeugend, denn aus den Akten würden sich keinerlei Anhaltspunkte ergeben, wonach die Glaubwürdigkeit an der Person des Beschwerdeführers anzuzweifeln wäre. Darüber hinaus habe er seine politischen Aktivitäten ausführlich, detailliert sowie nachvollziehbar und logisch geschildert. Zur Vermeidung von Wiederholungen kann vollumfänglich auf die ausführlichen Erwägungen des BFM in seiner Verfügung verwiesen werden.</w:t>
      </w:r>
    </w:p>
    <w:p>
      <w:r>
        <w:rPr>
          <w:b/>
        </w:rPr>
        <w:t>E. 4.2</w:t>
      </w:r>
    </w:p>
    <w:p>
      <w:r>
        <w:t>Zusammenfassend ist mit dem BFM festzuhalten, dass die vom Beschwerdeführer dargelegte Verfolgung durch die iranischen Behörden unglaubhaft ist.</w:t>
      </w:r>
    </w:p>
    <w:p>
      <w:r>
        <w:rPr>
          <w:b/>
        </w:rPr>
        <w:t>E. 5.1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Entscheidungen und Mitteilungen der ehemaligen Schweizerischen Asylrekurskommission [ARK; EMARK] 2006 Nr. 1 E. 6.1 S. 10, UNHCR, Handbuch über Verfahren und Kriterien zur Feststellung der Flüchtlingseigenschaft, Genf 1993).</w:t>
      </w:r>
    </w:p>
    <w:p>
      <w:r>
        <w:rPr>
          <w:b/>
        </w:rPr>
        <w:t>E. 5.2.1</w:t>
      </w:r>
    </w:p>
    <w:p>
      <w:r>
        <w:t>Mit Bezug auf den Iran ist in genereller Hinsicht festzuhalten, dass seit der Neufassung des iranischen Strafrechts vom 9. Juli 1996 die politische Betätigung für staatsfeindliche Organisationen im Ausland unter Strafe steht (Art. 498-500). Die iranischen Behörden überwachen die politischen Aktivitäten ihrer Staatsangehörigen im Ausland, wobei davon auszugehen ist, dass sie sich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(vgl. BVGE 2009/28 E.7.4.3). Keine Rolle spielt dabei die Quantität der exilpolitischen Aktivitäten, entscheidend ist vielmehr deren Qualität: So sind insbesondere exponierte Positionen in exilpolitischen Gruppen und Vereinigungen (Führungs- und Funktionsaufgaben) sowie die Form (z.B. gewaltsame Proteste) und der Einfluss (öffentliche Wirkung) von Aktionen bei der Beurteilung der Gefährdung einer Person von Bedeutung (vgl. Michael Kirschner, Iran: Rückkehrgefährdung für AktivistInnen und Mitglieder exilpolitischer Organisationen - Informationsgewinnung iranischer Behörden, Auskunft der SFH-Länderanalyse, 4. April 2006, S. 9 f.). Dass die iranischen Sicherheitsbehörden zu unterscheiden vermögen zwischen tatsächlich politisch engagierten Regimekritikern und Exilaktivisten, die mit ihren Aktionen in erster Linie die Chancen auf ein Aufenthaltsrecht zu erhöhen versuchen, darf vorausgesetzt werden (vgl. BVGE D-3357/2006 vom 9. Juli 2009 E. 7.4.3).</w:t>
      </w:r>
    </w:p>
    <w:p>
      <w:r>
        <w:rPr>
          <w:b/>
        </w:rPr>
        <w:t>E. 5.3</w:t>
      </w:r>
    </w:p>
    <w:p>
      <w:r>
        <w:t>Nach Durchsicht seiner Akten und Auswertung der auf seinen Webblog (...) respektive (...) aufgeschalteten Artikeln ab dem 2. Juli 2009 und Videosequenzen, welche vorwiegend von Drittpersonen auf seinen Blog aufgeschaltet worden sind, kommt das Bundesverwaltungsgericht zum Schluss, dass keine subjektiven Nachfluchtgründe bestehen. Um Wiederholungen zu vermeiden kann diesbezüglich auf die ausführlichen Erwägungen des mit heutigem Datum ergehenden Urteils seines Bruders verwiesen werden (vgl. E-6399/2010 E. 6.5. S. 16 ff.), welche für vorliegendes Verfahren ebenso Gültigkeit haben.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und Art. 33 FK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Iran lässt den Wegweisungsvollzug zum heutigen Zeitpunkt klarerweise nicht als unzulässig erscheinen. Nach dem Gesagten ist der Vollzug der Wegweisung sowohl im Sinne der asyl- als auch der völkerrechtlichen Bestimmungen zulässig. 7.4.1.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Der Vollzug der Wegweisung des Beschwerdeführers in den Iran ist als zumutbar im Sinne von Art. 83 Abs. 4 AuG zu erachten, da er nicht glaubhaft darzutun vermochten, bei einer Rückkehr ins Heimatland einer konkreten Gefährdungssituation im Sinne der zu beachtenden Bestimmung ausgesetzt zu werden. Im Iran herrscht zurzeit keine Situation allgemeiner Gewalt, weshalb in konstanter Praxis von der generellen Zumutbarkeit des Wegweisungsvollzugs ausgegangen wird. In den Akten finden sich auch keine konkreten Anhaltspunkte dafür, dass der heute (...)-jährige und soweit aktenkundig gesunde Beschwerdeführer aus individuellen Gründen wirtschaftlicher oder sozialer Art in eine existenzbedrohende Situation geraten würde. Er lebte seit (...) bis zu seiner Ausreise am 8. November 2008 immer im Iran und ist somit mit den dortigen Verhältnissen bestens vertraut. Mit seinen (...) und den (...) sowie seinem Bruder, dessen Beschwerde mit Urteil von heutigem Datum ebenfalls abgewiesen wird, verfügt er im Heimatland über ein familiäres Beziehungsnetz (vgl. Akten BFM A1/9 S. 5). Überdies hat er eigenen Angaben gemäss zehn Jahre die Schule besucht, zuletzt an der (...). Zudem hat er (...) und war bis zu seiner Ausreise als (...) tätig gewesen (vgl. A1/8 S. 2). Damit ist nicht davon auszugehen, er würde bei einer Rückkehr in eine seine Existenz bedrohende Notlage geraten. Schliesslich bleibt anzumerken, dass blosse soziale und wirtschaftliche Schwierigkeiten, wie namentlich Mangel an Wohnungen und Arbeitsplätzen, von welchen die ansässige Bevölkerung betroffen sein kann, keine existenzbedrohende Situation darstellen, welche den Vollzug der Wegweisung eines Ausländers in den Heimatstaat als unzumutbar erscheinen lassen (vgl. EMARK 2005 Nr. 24 E. 10.1 S. 215, mit weiteren Hinweisen).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Entscheide des Schweizerischen Bundesverwaltungsgerichts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5. Oktober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