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E-6689/2016 vom 4. Januar 2018</w:t>
      </w:r>
    </w:p>
    <w:p>
      <w:r>
        <w:t>Bundesverwaltungsgericht, 2018-01-04, DE</w:t>
      </w:r>
    </w:p>
    <w:p>
      <w:r>
        <w:rPr>
          <w:b/>
        </w:rPr>
        <w:t xml:space="preserve">Quelle: </w:t>
      </w:r>
      <w:r>
        <w:t>https://mcp.opencaselaw.ch/entscheid/bvger_E-6689_2016</w:t>
      </w:r>
    </w:p>
    <w:p>
      <w:r>
        <w:t>FR: TAF E-6689/2016 du 4 janvier 2018</w:t>
      </w:r>
    </w:p>
    <w:p>
      <w:r>
        <w:t>IT: TAF E-6689/2016 del 4 gennaio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Gegenstand des vorliegenden Verfahrens bildet die Flüchtlingseigenschaft des Beschwerdeführers aufgrund der illegalen Ausreise aus Eritrea sowie die Wegweisung (Ziffern 1 und 3 des Dispositivs). Der Asylpunkt (Ziffer 2) ist indes unangefochten in Rechtskraft erwachsen. Der Wegweisungsvollzug ist nicht mehr zu prüfen, nachdem das SEM mit Verfügung vom 28. September 2016 die vorläufige Aufnahme des Beschwerdeführers angeordnet hat.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Dem Beschwerdeführer wurde mit Zwischenverfügung vom 11. November 2016 die unentgeltliche Prozessführung sowie Verbeiständung gewährt, die Beschwerde zum Eingabezeitpunkt also nicht als aussichtslos qualifiziert. Dies steht indessen einem einzelrichterlichen Entscheid gemäss Art. 111 Bst. e AsylG nicht entgegen (vgl. dazu ausführlich das Urteil des BVGer E-4923/2016 vom 9. Februar 2017, E. 2.2).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6.1</w:t>
      </w:r>
    </w:p>
    <w:p>
      <w:r>
        <w:t>Die Vorinstanz begründete ihren ablehnenden Entscheid damit, der Beschwerdeführer habe aufgrund seines Alters weder direkten noch indirekten Behördenkontakt im Hinblick auf den Militärdienst gehabt, so dass nicht davon auszugehen sei, er habe zum Zeitpunkt seiner Ausreise wegen einer ablehnenden Haltung gegenüber dem Militärdienst in absehbarer Zukunft mit ernsthaften Nachteilen zu rechnen gehabt. Was die illegale Ausreise betreffe, so erfülle er die Flüchtlingseigenschaft auch aufgrund derer nicht. So sei im Zusammenhang mit einer illegalen Ausreise - ohne auf die Frage der Glaubhaftigkeit einzugehen - zu prüfen, ob konkrete Indizien für eine mit beachtlicher Wahrscheinlichkeit naheliegende Verfolgung vorliegen würden. Eine straffreie Rückkehr von illegal Ausgereisten sei möglich, sofern die sogenannte Diasporasteuer bezahlt und, wenn die nationale Dienstpflicht wie im Fall des Beschwerdeführers noch nicht erfüllt worden sei, ein Reueformular unterzeichnet worden sei. Bei zwangsweisen Rückführungen müsse davon ausgegangen werden, dass der Nationaldienst-Status das wichtigste Kriterium für den Umgang der eritreischen Behörden mit Rückkehrern darstelle. Die illegale Ausreise spiele demnach eine untergeordnete Rolle. Der Beschwerdeführer habe weder den Nationaldienst verweigert noch sei er aus diesem desertiert und habe folglich nicht gegen die Proclamation on National Service von 1995 verstossen. Auch sonst liesse sich den Akten nichts entnehmen, wonach er bei einer Rückkehr nach Eritrea ernsthafte Nachteile zu gewärtigen hätte.</w:t>
      </w:r>
    </w:p>
    <w:p>
      <w:r>
        <w:rPr>
          <w:b/>
        </w:rPr>
        <w:t>E. 6.2</w:t>
      </w:r>
    </w:p>
    <w:p>
      <w:r>
        <w:t>In seiner Rechtsmitteleingabe berief sich der Beschwerdeführer darauf, ihm sei aufgrund der Republikflucht - im Sinne von subjektiven Nachfluchtgründen - die Flüchtlingseigenschaft zuzuerkennen. Mit der Schlussfolgerung, die illegale Ausreise sei asylrechtlich unbeachtlich und der Begründung, die Behandlung von Rückkehrenden durch die eritreischen Behörden sei hauptsächlich davon abhängig, ob diese freiwillig oder unter Zwang erfolge sowie vom Nationaldienst-Status vor ihrer Ausreise, sei die Vorinstanz ohne stichhaltige Begründung von der geltenden Rechtsprechung und ihrer eigenen Praxis abgewichen. In der nachträglichen Eingabe vom 30. November 2017 brachte der Beschwerdeführer - mit Verweis auf das vom Bundesverwaltungsgericht publizierte Urteil D-7898/2015 vom 30. Januar 2017 - vor, bei ihm handle es sich um eine aus Sicht der eritreischen Behörde missliebige Person, welche ein besonders gefährdetes Profil aufweise. Die heimatlichen Behörden seien bereit, ihn bei einer Rückkehr kompromisslos zu bestrafen. Dabei sei zu berücksichtigen, dass der Beschwerdeführer nicht in der Lage wäre, die 2%-Steuer zu bezahlen und das Reueformular zu unterzeichnen. Wie er seinen Status überhaupt noch regeln könne, sei nicht bekannt.</w:t>
      </w:r>
    </w:p>
    <w:p>
      <w:r>
        <w:rPr>
          <w:b/>
        </w:rPr>
        <w:t>E. 7.1</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statt vieler: Urteil des BVGer D-4449/2015 vom 22. September 2016, E. 5.3.1). Diese Rechtsprechung wurde inzwischen aufgegeben. Das Bundesverwaltungsgericht kam im publizierten Referenzurteil D-7898/2015 vom 30. Januar 2017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Das Gericht kommt zum Schluss, dass allein aufgrund einer illegalen Ausreise keine begründete Furcht vor asylrechtlich beachtlicher Verfolgung angenommen werden kann. Die Frage der Zulässigkeit der Praxisänderung der Vorinstanz bezüglich der flüchtlingsrechtlichen Beurteilung der illegalen Ausreise aus Eritrea ist vom Bundesverwaltungsgericht somit geklärt worden. Es kam zu Schluss, dass allein aufgrund einer illegalen Ausreise keine begründete Furcht vor asylrechtlich beachtlicher Verfolgung angenommen werden könne.</w:t>
      </w:r>
    </w:p>
    <w:p>
      <w:r>
        <w:rPr>
          <w:b/>
        </w:rPr>
        <w:t>E. 7.2</w:t>
      </w:r>
    </w:p>
    <w:p>
      <w:r>
        <w:t>Beim Beschwerdeführer sind keine solchen zusätzlichen Anknüpfungspunkte ersichtlich, welche zu einer Schärfung seines Profils führen würden. Der Beschwerdeführer führte dazu in seiner Stellungnahme vom 30. November 2017 aus, er habe ein besonders gefährdetes Profil, weil sein Vater dem Militärdienst ferngeblieben sei. Anlässlich der Anhörung verneinte er indessen ein Interesse der Behörden an seiner Person, als diese den Vater gesucht hätten (A21 F122). Auch hat sich dieser den Behörden nach zwei Wochen gestellt. Deshalb ist ein heutiges Verfolgungsinteresse der Behörden wegen des damaligen Fernbleibens des Vaters vom Militärdienst nicht ersichtlich. Zum Zeitpunkt seiner Ausreise war der Beschwerdeführer gerade einmal knapp (...)-jährig und damit noch nicht im militärdienstpflichtigen Alter. Zudem stand er weder in Kontakt zu den Behörden noch wurde er zum Militärdienst aufgeboten (vgl. SEM-Akten A9 Ziff. 7.02; A21 F122 f.). Inwiefern er allein deshalb oder aufgrund der Tatsache, dass er seinen Status allenfalls nicht durch die Bezahlung der Diasporasteuer und durch Unterzeichnung eines Reueformulars regeln könnte und deshalb ins Visier der eritreischen Behörden geraten sollte, ist nicht ersichtlich. Für eine drohende asylrelevante Verfolgung bestehen somit keine Anhaltspunkte. Soweit er an den glaubhaften Schilderungen zur illegalen Ausreise festhält, ist diesbezüglich anzufügen, dass auf die Frage der Glaubhaftigkeit zufolge der Asylirrelevanz nicht weiter einzugehen ist.</w:t>
      </w:r>
    </w:p>
    <w:p>
      <w:r>
        <w:rPr>
          <w:b/>
        </w:rPr>
        <w:t>E. 7.3</w:t>
      </w:r>
    </w:p>
    <w:p>
      <w:r>
        <w:t>Nach dem Gesagten ist es dem Beschwerdeführer nicht gelungen, eine relevante Verfolgungsgefahr im Sinne von Art. 54 i.V.m. Art. 3 AsylG darzutun. Die Vorinstanz hat die Flüchtlingseigenschaft demnach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28. September 2016 den Vollzug der Wegweisung aufgrund von Unzumutbarkeit zugunsten einer vorläufigen Aufnahme in der Schweiz aufgeschoben hat, erübrigen sich praxisgemäss weitere Ausführungen zur Durchführbarkeit des Wegweisungsvollzugs (vgl. BVGE 2014/32 E. 9.2).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BVGE 2009/51 E. 5.4 m. w. H).</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mit Zwischenverfügung vom 11. November 2016 das Gesuch um Gewährung der unentgeltlichen Prozessführung gutgeheissen wurde, ist von einer Kostenauflage abzusehen (Art. 1-3 des Reglements vom 21. Februar 2008 über die Kosten und Entschädigungen vor dem Bundesverwaltungsgericht [VGKE, SR 173.320.2]).</w:t>
      </w:r>
    </w:p>
    <w:p>
      <w:r>
        <w:rPr>
          <w:b/>
        </w:rPr>
        <w:t>E. 11.2</w:t>
      </w:r>
    </w:p>
    <w:p>
      <w:r>
        <w:t>Mit Zwischenverfügung vom 11. November 2016 wurde gleichzeitig das Gesuch um Gewährung der amtlichen Verbeiständung in der Person der mandatierten MLaw Michèle Künzi gutgeheissen. In Ihrer ergänzenden Kostennote vom 30. November 2017 weist sie einen zeitlichen Aufwand von neun Stunden zu einem Stundenansatz à Fr. 180.- [Anmerkung BVGer: fälschlicherweise mit einem Totalbetrag von Fr. 1080.- anstatt Fr. 1620.- ausgewiesen, ohne Mehrwertsteuerzuschlag] sowie einen Pauschalbetrag von Fr. 50.- für Ausgaben aus. Der Stundenansatz erweist sich angesichts der nicht-anwaltlichen Vertretung - und wie bereits in der Zwischenverfügung vom 11. November 2016 mitgeteilt - als zu hoch und ist auf Fr. 150.- zu kürzen (vgl. Art. 12 i.V.m. Art. 10 Abs. 2 VGKE). Angesichts der Beschwerdeeingaben (neunseitige Beschwerdeschrift, Begleitschreiben zur Fürsorgebestätigung, dreiseitige Replik und zweiseitige Stellungnahme hinsichtlich der Rückzugsanfrage) erscheint der zeitliche Aufwand als nicht angemessen und ist auf acht Stunden zu kürzen. Das amtliche Honorar für vorliegendes Verfahren beträgt somit Fr. 1346.- (inklusive Mehrwertsteuerzuschlag und Ausgabenpauschale).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