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E-6683/2015 vom 26. Oktober 2015</w:t>
      </w:r>
    </w:p>
    <w:p>
      <w:r>
        <w:t>Bundesverwaltungsgericht, 2015-10-26, DE</w:t>
      </w:r>
    </w:p>
    <w:p>
      <w:r>
        <w:rPr>
          <w:b/>
        </w:rPr>
        <w:t xml:space="preserve">Quelle: </w:t>
      </w:r>
      <w:r>
        <w:t>https://mcp.opencaselaw.ch/entscheid/bvger_E-6683_2015</w:t>
      </w:r>
    </w:p>
    <w:p>
      <w:r>
        <w:t>FR: TAF E-6683/2015 du 26 octobre 2015</w:t>
      </w:r>
    </w:p>
    <w:p>
      <w:r>
        <w:t>IT: TAF E-6683/2015 del 26 ottobre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2.3 Beim Aufnahmeverfahren (take charge - wie vorliegend) sind die Kriterien in der in Kapitel III der Dublin-III-VO genannten Rangfolge anzuwenden (vgl. Art. 8-16 Dublin-III-VO) und es ist von der Situation zum Zeitpunkt, in dem der Asylbewerber erstmals einen Antrag in einem Mitgliedstaat stellt, auszugehen (Art. 7 Abs. 1 und 2 Dublin-III-VO). Mithin ist vorliegend derjenige Mitgliedstaat zuständig für die Prüfung des Antrags auf internationalen Schutz, bei dem ein Antragsteller aus einem Drittstaat herkommend die Land-, See-, oder Luftgrenze illegal überschritten hat, und dies auf der Grundlage von Beweismitteln oder Indizien feststeht (vgl. Art. 13 Abs. 1 Dublin-III-VO). 2.4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am 28. September 2015 auf Italien übergegangen. Da der Beschwerdeführer eigenen Angaben zufolge nach dem Verlassen Eritreas, Sudans und Libyens in Italien in das Hoheitsgebiet der Dublin-Mitgliedstaaten eingereist ist, sei auf sein Asylgesuch nicht einzutreten, weil er nach Italien ausreisen könne, welches für die Durchführung des Asyl- und Wegweisungsverfahrens gestützt auf Art. 12 Abs. 4 Dublin-III-VO zuständig sei (Art. 31a Abs. 1 Bst. b AsylG). Es lägen keine konkreten Anhaltspunkte dafür vor, dass Italien sich nicht an seine völkerrechtlichen Verpflichtungen halten und das Asyl- und Wegweisungsverfahren nicht korrekt durchführen werde. Der Wunsch des Beschwerdeführers nach einem weiteren Aufenthalt in der Schweiz könne die Zuständigkeit Italiens nicht widerlegen.</w:t>
      </w:r>
    </w:p>
    <w:p>
      <w:r>
        <w:rPr>
          <w:b/>
        </w:rPr>
        <w:t>E. 3.2</w:t>
      </w:r>
    </w:p>
    <w:p>
      <w:r>
        <w:t>Der Beschwerdeführer hielt in seiner Rechtsschrift dagegen, er könne nicht nach Italien zurückkehren. Er sei ein eritreischer Flüchtling und gelte als Regimegegner. Er habe in Eritrea Misshandlungen, Haftaufenthalte und Militärdienstleistungszwang erlebt. Eine Narbe im Bereich eines Auges zeuge von den erlittenen Misshandlungen. Seine Frau und sein Kind würden wegen ihm in eritreischen Gefängnissen festgehalten. Auch in Libyen sei er misshandelt worden. Aus diesen Gründen habe er anlässlich der Befragung unter einer solchen Anspannung gestanden, dass er sich an keine seiner Aussagen zu den Reisemodalitäten in Italien erinnern könne. Somit könne er nicht sagen, wie er es von Italien bis nach Chiasso geschafft habe.</w:t>
      </w:r>
    </w:p>
    <w:p>
      <w:r>
        <w:rPr>
          <w:b/>
        </w:rPr>
        <w:t>E. 3.3</w:t>
      </w:r>
    </w:p>
    <w:p>
      <w:r>
        <w:t>Aufgrund der Angaben des Beschwerdeführers hat die Vorinstanz am 27. Juli 2015 die italienischen Behörden gestützt auf Art. 13 Abs. 1 Dublin-III-VO zu Recht um Übernahme des Beschwerdeführers ersucht. Mit der Nichtbeantwortung des Übernahmeersuchens innert der in Art. 22 Dublin-III-VO vorgesehenen Frist (sog. Verfristung) haben sie die Zuständigkeit Italiens implizit anerkannt (Art. 22 Abs. 7 Dublin-III-VO). Damit ist die grundsätzliche Zuständigkeit Italiens für die Durchführung des Asyl- und Wegweisungsverfahrens gegeben. Die in der Beschwerde behaupteten Erinnerungslücken und der Wunsch des Beschwerdeführers auf einen weiteren Aufenthalt in der Schweiz vermögen an der grundsätzlichen Zuständigkeit Italiens für die Behandlung des Asylgesuchs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der Beschwerdeführer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In der Rechtsmitteleingabe brachte der Beschwerdeführer nichts Erhebliches gegen obige Annahme (vgl. E. 3.2) vor. Unter diesen Umständen ist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führen würde. Er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des Beschwerdeführers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w:t>
      </w:r>
    </w:p>
    <w:p>
      <w:r>
        <w:rPr>
          <w:b/>
        </w:rPr>
        <w:t>E. 7.1</w:t>
      </w:r>
    </w:p>
    <w:p>
      <w:r>
        <w:t>Das mit der Beschwerde gestellte Gesuch um Gewährung der unentgeltlichen Prozessführung ist abzuweisen, da die Begehren, wie sich aus den vorstehenden Erwägungen ergibt, als aussichtlos zu bezeichnen sind. Ausserdem ist die Bedürftigkeit nicht belegt. Somit sind die Voraussetzungen von Art. 65 Abs. 1 VwVG nicht erfüllt.</w:t>
      </w:r>
    </w:p>
    <w:p>
      <w:r>
        <w:rPr>
          <w:b/>
        </w:rPr>
        <w:t>E. 7.2</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