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E-6680/2015 vom 13. März 2017</w:t>
      </w:r>
    </w:p>
    <w:p>
      <w:r>
        <w:t>Bundesverwaltungsgericht, 2017-03-13, DE</w:t>
      </w:r>
    </w:p>
    <w:p>
      <w:r>
        <w:rPr>
          <w:b/>
        </w:rPr>
        <w:t xml:space="preserve">Quelle: </w:t>
      </w:r>
      <w:r>
        <w:t>https://mcp.opencaselaw.ch/entscheid/bvger_E-6680_2015</w:t>
      </w:r>
    </w:p>
    <w:p>
      <w:r>
        <w:t>FR: TAF E-6680/2015 du 13 mars 2017</w:t>
      </w:r>
    </w:p>
    <w:p>
      <w:r>
        <w:t>IT: TAF E-6680/2015 del 13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AsylG).Dass dem Beschwerdeführer die unentgeltliche Rechtspflege (Art. 65 Abs. 1 VwVG) gewährt wird (vgl. unten, E. 6), die Beschwerde also als nicht aussichtslos qualifiziert wird,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möglich,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ebenso wie ihre Vorfluchtgründe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dass es dem Beschwerdeführer nicht gelungen sei, seine Asylvorbringen glaubhaft zu machen - weder in Bezug auf die Reflexverfolgung seines Vaters noch auf seine Flucht aus H._______ noch hinsichtlich der illegalen Ausreise. Es sei kein Grund ersichtlich, warum er die Inhaftnahme seines Vaters und seine damit verbundene kurzzeitige Rückkehr nach B._______ erst in der ausführlichen Anhörung vorgebracht habe, zumal diese Entwicklungen gemäss seinen eigenen Aussagen massgeblich zu seinem Ausreiseentschluss beigetragen hätten. Die Beschreibung seiner angeblichen Flucht aus der Haft in H._______ wirke in verschiedener Hinsicht wirklichkeitsfremd. So sei unplausibel, dass er und seine Mitgefangenen die Türe der Wellblech-Lagerhalle, in die sie eingesperrt gewesen seien, mit blossen Fusstritten hätten aufbrechen können. Unglaubhaft sei auch, dass sie trotz der sofortigen Reaktion des Wachpersonals ungehindert die Flucht hätten ergreifen können und darüber hinaus ohne nennenswerte Probleme zu Fuss zum Kloster hätten zurückkehren können. Zwar weise eine persönlich gefärbte Schilderung der Geschehnisse auf reale Erlebnisse hin; die Schilderung des Beschwerdeführers sei jedoch auch in dieser Hinsicht sehr oberflächlich ausgefallen, so dass nicht von Realkennzeichen gesprochen werden könne. Auch die Schilderung der illegalen Ausreise nach Äthiopien sei nicht schlüssig ausgefallen. Einerseits suche man im bestehenden Kartenmaterial vergeblich nach einem Berg namens Gobezebegla, anderseits sei kaum plausibel, dass er ohne weitere Vorkehren den eritreischen Grenzwachen hätte aus dem Weg gehen können.</w:t>
      </w:r>
    </w:p>
    <w:p>
      <w:r>
        <w:rPr>
          <w:b/>
        </w:rPr>
        <w:t>E. 3.6</w:t>
      </w:r>
    </w:p>
    <w:p>
      <w:r>
        <w:t>Der Beschwerdeführer wendet hiergegen ein, seine Schilderungen seien als glaubhaft einzustufen, wenn man den vom Bundesverwaltungsgericht in Auslegung von Art. 7 AsylG entwickelten Massstab anwende. Er habe in Eritrea befürchten müssen, in den Militärdienst eingezogen zu werden; insofern habe bereits vor der Ausreise begründete Furcht vor zukünftiger Verfolgung bestanden. Auch die illegale Ausreise aus Eritrea sei nach der konstanten Rechtsprechung des Bundesverwaltungsgerichts asylrelevant.Diese Einwände verfangen nicht. Zur Vermeidung von Wiederholungen ist auf die zutreffenden Erwägungen der Vorinstanz zu verweisen. Ergänzend weist das Gericht auf Folgendes hin:</w:t>
      </w:r>
    </w:p>
    <w:p>
      <w:r>
        <w:rPr>
          <w:b/>
        </w:rPr>
        <w:t>E. 3.6.1</w:t>
      </w:r>
    </w:p>
    <w:p>
      <w:r>
        <w:t>In Bezug auf die Flucht des Beschwerdeführers aus H._______ und die Reflexverfolgung seines Vaters teilt das Bundesverwaltungsgericht die Auffassung der Vorinstanz. Zwar ist dem Beschwerdeführer zuzustimmen, dass die Vorinstanz fälschlicherweise davon ausgegangen ist, beim Militärcamp H._______ handle es sich um das Gefängnis J._______ nahe Asmara. Das Gericht bedauert die diesbezüglich ungenaue Arbeitsweise der Vorinstanz, insbesondere weil in der Anhörung explizit danach gefragt wurde, ob es sich um ein Militärcamp oder ein Gefängnis handelte (vgl. Akten des Asylverfahrens, A16/15, F 43) und aus der diesbezüglichen Antwort des Beschwerdeführers hätte klar sein müssen, dass keine Inhaftierung im Gefängnis J._______ in Frage stand. Selbst unter der Annahme, dass der Beschwerdeführer in H._______ festgehalten worden ist, erscheint seine Schilderung der Flucht jedoch nicht als glaubhaft. Wie die Vorinstanz zutreffend feststellt, ist nicht plausibel, dass er mit seinen Fluchtgefährten zu Fuss vom Militärstützpunkt fliehen konnte, der seinen eigenen Angaben zufolge von bewaffneten Soldaten bewacht war (vgl. Akten des Asylverfahrens, A16/15, F 40, F 48). Ebenso ist unplausibel, dass er nach der Flucht einfach ins Kloster zurückgekehrt und dort bis 2009 unbehelligt geblieben sein will (vgl. Akten des Asylverfahrens, A16/15, F 59), zumal für die eritreischen Militärbehörden auf der Hand gelegen hätte, dort nach den flüchtigen, angeblichen Dienstverweigerern zu suchen.Unglaubhaft ist auch die Reflexverfolgung des Vaters des Beschwerdeführers, wobei in diesem Zusammenhang auf die zutreffenden Erwägungen der Vorinstanz zu verweisen ist. Ergänzend weist das Gericht darauf hin, dass aufgrund der Aussagen des Beschwerdeführers unklar bleibt, warum die eritreischen Behörden erst 2007 gegenüber dem Vater aktiv geworden sein sollten, zumal der Beschwerdeführer schon 2004 untergetaucht sein soll (vgl. Akten des Asylverfahrens, A 3/10, F 1.17.04).</w:t>
      </w:r>
    </w:p>
    <w:p>
      <w:r>
        <w:rPr>
          <w:b/>
        </w:rPr>
        <w:t>E. 3.6.2</w:t>
      </w:r>
    </w:p>
    <w:p>
      <w:r>
        <w:t>Bezüglich der vom Beschwerdeführer befürchteten Bestrafung wegen Wehrdienstverweigerung hat die ehemalige Asylrekurskommission (ARK) in einem 2006 ergangenen Urteil entschieden, für die Annahme der Flüchtlingseigenschaft reiche es nicht aus, dass die betroffene Person im dienstfähigen Alter sei und befürchte, irgendwann ausgehoben zu werden; nötig sei vielmehr, dass die mit der Durchsetzung der Dienstpflicht betrauten Organe des eritreischen Staates mit der betroffenen Person in konkreten Kontakt getreten seien und aus diesem Kontakt erkennbar werde, dass die Person rekrutiert werden solle (vgl. Entscheidungen und Mitteilungen der ehemaligen Asylrekurskommission [EMARK] 2006 Nr. 3, E. 4.10). Diese Rechtsprechung ist nach wie vor gültig und wurde vom Bundesverwaltungsgericht übernommen (vgl. dazu jüngst Urteil des BVGer D-632/2017 vom 23. Februar 2017, E. 5.1.2). Das Gericht sieht keinen Anlass, im vorliegenden Fall von dieser Rechtsprechung abzuweichen. Die vom Beschwerdeführer geltend gemachte Möglichkeit, in den Militärdienst eingezogen zu werden, ist nach dieser Rechtsprechung folglich nicht asylrelevant. Hinzu kommt, dass nach seinen eigenen Angaben bis 2006 keine Dienstpflicht für "Diakone" bestand, die Flucht nach der angeblichen Festnahme im Jahr 2006 von der Vorinstanz zutreffend als unglaubhaft angesehen wurde (vgl. oben, E. 3.6.1) und nach 2006 keine Rekrutierungsbemühungen im Kloster mehr erfolgten.</w:t>
      </w:r>
    </w:p>
    <w:p>
      <w:r>
        <w:rPr>
          <w:b/>
        </w:rPr>
        <w:t>E. 3.6.3</w:t>
      </w:r>
    </w:p>
    <w:p>
      <w:r>
        <w:t>Tatsächlich liegt im Übrigen aufgrund der Akten nicht auf der Hand, dass die illegale Ausreise des Beschwerdeführers aus Eritrea unglaubhaft sein soll. Aufgrund der oben dargelegten Praxisänderung (E. 3.3) kann die Frage der Glaubhaftigkeit der illegalen Ausreise vorliegend jedoch offen gelassen werden. Gemäss aktueller Praxis des Gerichts kann allein aufgrund einer illegalen Ausreise keine begründete Furcht vor asylrechtlich beachtlicher Verfolgung angenommen werden (ausführlich dazu Urteil des BVGer D-7898/2015 vom 30. Januar 2017, E. 4.6-5.1 [vgl. oben, E. 3.3]). Nachdem der Beschwerdeführer neben der illegalen Ausreise keine zusätzlichen Anknüpfungspunkte für eine Verschärfung seines Profils glaubhaft machen konnte, ist vorliegend nicht von einer asylrechtlich beachtlichen Verfolgung auszugehen.</w:t>
      </w:r>
    </w:p>
    <w:p>
      <w:r>
        <w:rPr>
          <w:b/>
        </w:rPr>
        <w:t>E. 3.7</w:t>
      </w:r>
    </w:p>
    <w:p>
      <w:r>
        <w:t>Wie die Vorinstanz kommt das Gericht deshalb im Ergebnis zum Schluss, dass der Beschwerdeführer keine Verfolgung glaubhaft gemacht hat und die Flüchtlingseigenschaft nicht erfüllt. Sein Asylgesuch wurde daher von der Vorinstanz zu Recht abgewiesen.</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abzuweisen.Die von der Vorinstanz wegen Unzumutbarkeit des Vollzugs verfügte vorläufige Aufnahme bleibt dadurch unberührt. Da die Wegweisungsvollzugshindernisse alternativer Natur sind (vgl. BVGE 2009/51 E. 5.4 S. 748), besteht - anders als in der Beschwerde vorgebracht - kein schutzwürdiges Interesse an der Überprüfung, aus welchen Gründen die Vorinstanz den Vollzug aufgeschoben hat (Art. 48 Abs. 1 Bst. c VwVG). Auf den Antrag des Beschwerdeführers, die Unzulässigkeit des Wegweisungsvollzugs festzustellen und die vorläufige Aufnahme zu gewähren, ist daher mangels Rechtsschutzinteresse nicht einzutreten.</w:t>
      </w:r>
    </w:p>
    <w:p>
      <w:r>
        <w:rPr>
          <w:b/>
        </w:rPr>
        <w:t>E. 6</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im Beschwerdezeitpunkt nicht als aussichtslos betrachtet werden konnten, weshalb das Gesuch um Gewährung der unentgeltlichen Rechtspflege (Art. 65 Abs. 1 VwVG) in Anbetracht seiner prozessualen Bedürftigkeit (vgl. die Bescheinigung der I._______ vom 29. September 2015) gutzuheissen ist. Dementsprechend verzichtet das Gericht auf die Erhebung von Verfahrenskosten. Der Antrag, auf die Erhebung eines Kostenvorschusses sei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