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E-6677/2013 vom 3. Dezember 2013</w:t>
      </w:r>
    </w:p>
    <w:p>
      <w:r>
        <w:t>Bundesverwaltungsgericht, 2013-12-03, DE</w:t>
      </w:r>
    </w:p>
    <w:p>
      <w:r>
        <w:rPr>
          <w:b/>
        </w:rPr>
        <w:t xml:space="preserve">Quelle: </w:t>
      </w:r>
      <w:r>
        <w:t>https://mcp.opencaselaw.ch/entscheid/bvger_E-6677_2013</w:t>
      </w:r>
    </w:p>
    <w:p>
      <w:r>
        <w:t>FR: TAF E-6677/2013 du 3 décembre 2013</w:t>
      </w:r>
    </w:p>
    <w:p>
      <w:r>
        <w:t>IT: TAF E-6677/2013 del 3 dicembre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w:t>
      </w:r>
    </w:p>
    <w:p>
      <w:r>
        <w:rPr>
          <w:b/>
        </w:rPr>
        <w:t>E. 3.2</w:t>
      </w:r>
    </w:p>
    <w:p>
      <w:r>
        <w:t>Bei Beschwerden gegen Nichteintretensentscheide, mit denen es das BFM ablehnt, das Asylgesuch auf seine Begründetheit zu überprüfen (Art. 32-35 AsylG),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Schweizerisch-en Asylrekurskommission [EMARK] 2004 Nr. 34 E. 2.1. S. 240 f.). Bezüglich der Wegweisung und des Vollzuges ist die Beurteilungskompetenz nicht beschränkt, da die Vorinstanz dies materiell geprüft hat.</w:t>
      </w:r>
    </w:p>
    <w:p>
      <w:r>
        <w:rPr>
          <w:b/>
        </w:rPr>
        <w:t>E. 4</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5.1</w:t>
      </w:r>
    </w:p>
    <w:p>
      <w:r>
        <w:t>Die Vorinstanz erwog in der angefochtenen Verfügung, die französischen Behörden hätten das Übernahmeersuchen gestützt auf Art. 16 Abs. 1 Bst. e der Verordnung (EG) Nr. 343/2003 des Rates vom 18. Februar 2003 zur Festlegung der Kriterien und Verfahren zur Bestimmung des Mitgliedstaates, der für die Prüfung eines von einem Drittstaatsangehörigen in einem Mitgliedstaat gestellten Asylantrags zuständig ist (Dublin-II-VO), gutgeheissen. Damit liege die Zuständigkeit zur Durchführung des Asyl- und Wegweisungsverfahrens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[DAA], SR 0.142.392.68) bei Frankreich. Frankreich habe die Richtlinie 2003/9/EG des Rates vom 27. Januar 2003 (sog. Aufnahmerichtlinie), welche zahlreiche Mindestnormen für die Aufnahme und Betreuung von Asylsuchenden beinhalte, ohne Beanstandungen von Seiten der Europäischen Kommission umgesetzt. Der Beschwer-deführer könne seine Anliegen demnach an die zuständigen Stellen in Frankreich richten.</w:t>
      </w:r>
    </w:p>
    <w:p>
      <w:r>
        <w:rPr>
          <w:b/>
        </w:rPr>
        <w:t>E. 5.2</w:t>
      </w:r>
    </w:p>
    <w:p>
      <w:r>
        <w:t>In der Rechtsmitteleingabe führt der Beschwerdeführer an, er wolle nicht nach Frankreich zurückgehen, weil er dort "viele junge Männer auf der Strasse" gesehen habe, die nicht wüssten, was sie mit ihrem Leben anfangen sollten. In der Schweiz sei vieles anders, die Schweizer seien loyal und viel freundlicher. Er habe hier eine bessere Zukunft und angefangen, sein Leben in den Griff zu bekommen.</w:t>
      </w:r>
    </w:p>
    <w:p>
      <w:r>
        <w:rPr>
          <w:b/>
        </w:rPr>
        <w:t>E. 6.1</w:t>
      </w:r>
    </w:p>
    <w:p>
      <w:r>
        <w:t>Mit der Umsetzung des Dublin-Assoziierungsabkommen verpflichtet sich die Schweiz, die Dublin-II-VO anzuwenden. Diese enthält die Krite-rien, um denjenigen Dublin-Staat zu bestimmen, der zuständig ist, das Asyl- und Wegweisungsverfahren durchzuführen. Gemäss Art. 3 Abs. 1 Satz 2 Dublin-II-VO wird jeder Asylantrag von einem einzigen Mitgliedstaat, der nach den Kriterien des Kapitels III als zuständiger Staat bestimmt wird, geprüft. Der zuständige Mitgliedstaat ist gehalten, den Asylbewerber, der in einem anderen Mitgliedstaat einen Antrag gestellt hat, nach Massgabe der Art. 17 bis 19 Dublin-II-Verordnung aufzunehmen (Art. 16 Abs. 1 Bst. a Dublin-II-VO) beziehungsweise einen Drittstaatsangehörigen, dessen Asylantrag er abgelehnt hat, nach Massgabe des Art. 20 Dublin-II-VO wieder aufzunehmen (Art. 16 Abs. 1 Bst. a Dublin-II-VO). Jedem Mitgliedstaat wird zudem, in Abweichung von den vorgenannten Zuständigkeitskriterien, die Möglichkeit zur Prüfung eines Asylgesuches eingeräumt (vgl. zur Souveränitätsklausel Art. 3 Abs. 2 Dublin-II-VO und zur humanitären Klausel Art. 15 Dublin-II-VO; vgl. auch Art. 29a Abs. 3 der Asylverordnung 1 vom 11. August 1999 über Verfahrensfragen [AsylV 1, SR 142.311]).</w:t>
      </w:r>
    </w:p>
    <w:p>
      <w:r>
        <w:rPr>
          <w:b/>
        </w:rPr>
        <w:t>E. 6.2</w:t>
      </w:r>
    </w:p>
    <w:p>
      <w:r>
        <w:t>Aufgrund der Akten steht fest, dass sich der Beschwerdeführer vor der Gesuchstellung in der Schweiz (am 7. Oktober 2013) seit Februar 2012 in Frankreich aufgehalten und dort um Asyl ersucht hat. Die französischen Behörden stimmten gestützt auf Art. 16 Abs. 1 Bst. e Dublin-II-VO am 5. November 2013 dem Ersuchen des BFM vom 22. Oktober 2013 um Übernahme des Beschwerdeführers ausdrücklich zu. Die Zuständigkeit Frankreichs ist somit gegeben (Art. 10 Abs. 1 i.V.m. Art. 16 Abs. 1 Bst. e Dublin-II-VO). Es obliegt dem Beschwerdeführer, Einwände gegen eine allfällige Überstellung nach Sri Lanka bei den französischen Behörden auf dem Rechtsweg geltend zu machen. Selbst wenn das Asylverfahren des Beschwerdeführers in Frankreich bereits rechtskräftig abgeschlossen sein sollte und er deshalb kein Anrecht mehr auf Unterbringung oder weitergehende staatliche oder nichtstaatliche Unterstützung hätte, ist Frankreich gemäss Art. 16 Abs. 1 Bst. e Dublin-II-VO weiterhin für das Verfahren des Beschwerdeführers bis zu einem allfälligen Wegweisungsvollzug beziehungsweise einer Regelung seines Aufenthaltsstatus zuständig (Art. 16 Abs. 4 Dublin-II-VO sowie Christian Filzwieser/Andrea Sprung, Dublin-II-Verordnung, 3., überarb. Aufl., Wien/Graz 2010, K 25 zu Art. 16 Abs. 4).</w:t>
      </w:r>
    </w:p>
    <w:p>
      <w:r>
        <w:rPr>
          <w:b/>
        </w:rPr>
        <w:t>E. 6.3</w:t>
      </w:r>
    </w:p>
    <w:p>
      <w:r>
        <w:t>Die Ausführungen in der Beschwerdeeingabe vermögen an der Zuständigkeit Frankreichs zur Durchführung des Asyl- und Wegweisungsverfahrens nichts zu ändern. Der Beschwerdeführer macht keine ernsthaften und konkreten Anhaltspunkte geltend, wonach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sich nicht an seine staatsvertraglichen Verpflichtungen, insbesondere an das Rückschiebungsverbot, halten würde. Es besteht kein Grund zur Annahme, Personen, die sich im Rahmen eines Asylverfahrens in Frankreich aufhalten, würden aufgrund der dortigen Aufenthaltsbedingungen in eine existenzielle Notlage geraten. Der Beschwerdeführer kann nicht beweisen oder mittels eines konkreten Anhaltspunkts glaubhaft machen, dass die Lebensbedingungen in Frankreich so schlecht sind, dass die Überstellung in dieses Land die EMRK verletzen würde. Sein Einwand, er habe begonnen, sich in der Schweiz einzurichten, und ein Neuanfang sei immer schwierig, vermag an dieser Einschätzung nichts zu ändern.</w:t>
      </w:r>
    </w:p>
    <w:p>
      <w:r>
        <w:rPr>
          <w:b/>
        </w:rPr>
        <w:t>E. 6.4</w:t>
      </w:r>
    </w:p>
    <w:p>
      <w:r>
        <w:t>Zusammenfassend ist festzustellen, dass einer Überstellung des Beschwerdeführers nach Frankreich weder völkerrechtliche Verpflichtungen der Schweiz noch humanitäre Gründe entgegenstehen, weshalb die Souveränitätsklausel (Art. 3 Abs. 2 Dublin-II-VO) nicht zur Anwendung gelangt und folglich das BFM zu Recht in Anwendung von Art. 34 Abs. 2 Bst. e AsylG auf das Asylgesuch nicht eingetreten ist.</w:t>
      </w:r>
    </w:p>
    <w:p>
      <w:r>
        <w:rPr>
          <w:b/>
        </w:rPr>
        <w:t>E. 7.1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(vgl. BVGE 2009/50 E. 9), ist die Anordnung der Wegweisung nicht zu beanstanden.</w:t>
      </w:r>
    </w:p>
    <w:p>
      <w:r>
        <w:rPr>
          <w:b/>
        </w:rPr>
        <w:t>E. 7.2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Frankreich zu Recht als zu­lässig, zumutbar und möglich bezeichnet.</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