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E-6667/2023 vom 30. Oktober 2023</w:t>
      </w:r>
    </w:p>
    <w:p>
      <w:r>
        <w:t>Bundesverwaltungsgericht, 2023-10-30, DE</w:t>
      </w:r>
    </w:p>
    <w:p>
      <w:r>
        <w:rPr>
          <w:b/>
        </w:rPr>
        <w:t xml:space="preserve">Quelle: </w:t>
      </w:r>
      <w:r>
        <w:t>https://mcp.opencaselaw.ch/entscheid/bvger_E-6667_2023_d20231030</w:t>
      </w:r>
    </w:p>
    <w:p>
      <w:r>
        <w:t>FR: TAF E-6667/2023 du 30 octobre 2023</w:t>
      </w:r>
    </w:p>
    <w:p>
      <w:r>
        <w:t>IT: TAF E-6667/2023 del 30 ottobre 2023</w:t>
      </w:r>
    </w:p>
    <w:p>
      <w:pPr>
        <w:pStyle w:val="Heading2"/>
      </w:pPr>
      <w:r>
        <w:t>Regeste</w:t>
      </w:r>
    </w:p>
    <w:p>
      <w:r>
        <w:t>Asyl (ohne Wegweisungsvollzug) (Mehrfachgesuch) | Asyl (ohne Wegweisungsvollzug) (Mehrfachgesuch); Verfügung des SEM vom 30.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E-6667/2023 Seite 11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Der Beschwerdeführer ist legitimiert; auf seine frist- und formgerecht eingereichte Beschwerde ist – mit nachfolgendem Vorbehalt – einzutreten (Art. 105 und 108 Abs. 3 AsylG; Art. 37 VGG i.V.m. Art. 48 Abs. 1 und Art. 52 Abs. 1 VwVG.</w:t>
      </w:r>
    </w:p>
    <w:p>
      <w:r>
        <w:rPr>
          <w:b/>
        </w:rPr>
        <w:t>E. 1.4</w:t>
      </w:r>
    </w:p>
    <w:p>
      <w:r>
        <w:t>Da der Beschwerde bereits von Gesetzes wegen aufschiebende Wir- kung zukommt und diese von der Vorinstanz nicht entzogen wurde, ist auf den Antrag um Erteilung der aufschiebenden Wirkung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die Durchführung eines Schriftenwechsels verzichtet. 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E-6667/2023 Seite 12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Als erstes ist festzuhalten, dass sich die verfahrensrechtlichen Rügen, das SEM habe den Sachverhalt unrichtig und unvollständig festgestellt und die Beweismittel falsch beziehungsweise einzelne Sachverhaltselemente willkürlich gewürdigt, als offensichtlich unzutreffend erweisen.</w:t>
      </w:r>
    </w:p>
    <w:p>
      <w:r>
        <w:rPr>
          <w:b/>
        </w:rPr>
        <w:t>E. 4.2</w:t>
      </w:r>
    </w:p>
    <w:p>
      <w:r>
        <w:t>Der Sachverhalt wurde vom SEM vollständig und richtig festgestellt. Bei den Entgegnungen in der Beschwerde, wonach das SEM nicht berück- sichtigt habe, dass der Beschwerdeführer wegen seiner politischen Tätig- keiten im Fokus der Behörden stehe beziehungsweise die sri-lankischen Behörden aufgrund seiner exilpolitischen Tätigkeiten ein ungebrochenes Interesse an seiner Verhaftung hätten, handelt es sich um Behauptungen, welche die vom SEM vorgenommene Würdigung des Sachverhalts und nicht deren Feststellungen beschlägt. Dies gilt auch für den Vorwurf, das SEM habe einzelne Sachverhaltselemente willkürlich gewürdigt. Ferner stehen die entsprechenden Vorbringen in offenem Widerspruch zu den be- reits zahlreichen vorbestehenden Würdigungen dieser Asylvorbringen.</w:t>
      </w:r>
    </w:p>
    <w:p>
      <w:r>
        <w:rPr>
          <w:b/>
        </w:rPr>
        <w:t>E. 4.3</w:t>
      </w:r>
    </w:p>
    <w:p>
      <w:r>
        <w:t>Der Beschwerdeführer hat den zutreffenden, zu bestätigenden Erwä- gungen der Vorinstanz auch in materieller Hinsicht nichts Substantielles entgegenzuhalten. Die Argumentation in der Beschwerde erschöpft sich in blossen Behauptungen und nachträglichen unbehelflichen Erklärungs-ver- suchen. So wird in der Beschwerde bezüglich des Erhalts des sogenann- ten Haftbefehls behauptet, die Übergabe des Haftbefehls auf dem Partei- büro der PLOTE mittels des Dokuments «Haftbefehlsübergabe vom (…)» habe dazu geführt, dass der Beschwerdeführer vom Haftbefehl erfahren habe, ohne diese Behauptung näher zu substantiieren oder zu belegen. Ohnehin sind die entsprechenden Erklärungsversuche als nur wenig</w:t>
      </w:r>
    </w:p>
    <w:p>
      <w:r>
        <w:t>E-6667/2023 Seite 13 realitätsnah einzustufen und insgesamt als offensichtliche erkennbare Schutzbehauptungen zu qualifizieren.</w:t>
      </w:r>
    </w:p>
    <w:p>
      <w:r>
        <w:rPr>
          <w:b/>
        </w:rPr>
        <w:t>E. 4.4</w:t>
      </w:r>
    </w:p>
    <w:p>
      <w:r>
        <w:t>Die Einschätzung des SEM auf Unglaubhaftigkeit beziehungsweise teilweise fehlender Asylrelevanz der Vorbringen vermag sowohl hinsichtlich der entsprechenden Begründung wie auch hinsichtlich der jeweiligen Schlussfolgerung vollends zu überzeugen. Zur Vermeidung von Wiederho- lungen kann auf die vorinstanzlichen Erwägungen in der angefochtenen Verfügung (vgl. auch Bst. N vorstehend) verwiesen werden, welche durch die Argumentation in der Beschwerde nicht ernsthaft in Zweifel gezogen werden können.</w:t>
      </w:r>
    </w:p>
    <w:p>
      <w:r>
        <w:rPr>
          <w:b/>
        </w:rPr>
        <w:t>E. 4.5</w:t>
      </w:r>
    </w:p>
    <w:p>
      <w:r>
        <w:t>Zusammenfassend ist mit dem SEM festzuhalten, dass der Beschwer- deführer keine (neuen) Gründe vorbringt, welche eine Verfolgungssituation glaubhaft machen könnten. Das SEM hat somit zu Recht die Flüchtlingsei- genschaft verneint und das Asylgesuch des Beschwerdeführers abgelehnt.</w:t>
      </w:r>
    </w:p>
    <w:p>
      <w:r>
        <w:rPr>
          <w:b/>
        </w:rPr>
        <w:t>E. 5</w:t>
      </w:r>
    </w:p>
    <w:p>
      <w:r>
        <w:t>Gemäss Art. 44 AsylG verfügt das SEM in der Regel die Wegweisung aus der Schweiz, wenn es das Asylgesuch ablehnt oder darauf nicht eintritt. Die Aufenthaltsbewilligung des Beschwerdeführers wurde von den kantonalen Behörden am 13. August 2012 widerrufen respektive nicht verlängert und er wurde aus der Schweiz weggewiesen. Das Verwaltungsgericht des Kan- tons Bern wies die dagegen erhobene Beschwerde mit Urteil vom 19. Juni 2014 ab. Der Beschwerdeführer verfügt demnach weder über eine auslän- derrechtliche Aufenthaltsbewilligung noch über einen Anspruch auf Ertei- lung einer solchen. Die Wegweisung wurde von der Vorinstanz zu Recht angeordnet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6.2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w:t>
      </w:r>
    </w:p>
    <w:p>
      <w:r>
        <w:t>E-6667/2023 Seite 14 Abkommens vom 28. Juli 1951 über die Rechtsstellung der Flüchtlinge (FK, SR 0.142.30) und Art. 5 AsylG auf ihn nicht anwendbar. Die Zulässig- keit des Vollzugs beurteilt sich vielmehr nach den allgemeinen verfas- sungs- und völkerrechtlichen Bestimmungen (Art. 25 Abs. 3 BV; Art. 3 des Übereinkommens vom 10. Dezember 1984 gegen Folter und andere grau- same, unmenschliche oder erniedrigende Behandlung oder Strafe [FoK, SR 0.105]; Art. 3 EMRK). Die allgemeine 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 führungen noch aus den Akten ergeben sich konkrete Anhaltspunkte dafür, dass der Beschwerdeführer für den Fall einer Ausschaffung nach Sri Lanka dort mit beachtlicher Wahrscheinlichkeit einer nach EMRK oder FoK ver- botenen Strafe oder Behandlung ausgesetzt wäre. So weist der Beschwer- 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 gingen oder dass ihm persönlich im Falle einer Rückkehr eine Gefährdung drohen könnte. Der Vollzug der Wegweisung ist zulässig.</w:t>
      </w:r>
    </w:p>
    <w:p>
      <w:r>
        <w:rPr>
          <w:b/>
        </w:rPr>
        <w:t>E. 6.3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6.3.1</w:t>
      </w:r>
    </w:p>
    <w:p>
      <w:r>
        <w:t>Die Prüfung der Frage, ob der Vollzug einer Wegweisung im Sinne von Art. 83 Abs. 4 AIG unzumutbar ist, erübrigt sich, wenn die weggewie- sene Person zu einer längerfristigen Freiheitsstrafe im In- oder Ausland verurteilt oder wenn gegen sie eine strafrechtliche Massnahme im Sinne von Art. 61 oder 64 des Strafgesetzbuches angeordnet wurde (Art. 83 Abs.</w:t>
      </w:r>
    </w:p>
    <w:p>
      <w:r>
        <w:rPr>
          <w:b/>
        </w:rPr>
        <w:t>E. 6.3.2</w:t>
      </w:r>
    </w:p>
    <w:p>
      <w:r>
        <w:t>Sowohl das SEM in seinem Entscheid vom 14. August 2019 wie auch das Bundesverwaltungsgericht in seinem Urteil E-4896/2019 vom 10. März</w:t>
      </w:r>
    </w:p>
    <w:p>
      <w:r>
        <w:t>E-6667/2023 Seite 15 2022 haben sich bereits eingehend mit der Ausgangslage auseinanderge- setzt, dass der Beschwerdeführer wegen der gegen ihn verhängten straf- rechtlichen Verurteilungen von der vorläufigen Aufnahme gemäss Art. 83 Abs. 7 AIG ausgeschlossen ist. Das Bundesverwaltungsgericht hat im vorgenannten Urteil E-4896/2019 vom 10. März 2022 (vgl. E. 8.4.5. ff.) in diesem Zusammenhang unterstri- chen, dass der Beschwerdeführer neben zahlreichen sonstigen Verurtei- lungen schliesslich am 18. November 2011 zu einer Freiheitsstrafe von vier Jahren verurteilt worden sei. Der Verurteilung lagen sehr gewichtige Straf- taten, unter anderem mehrfache sexuelle Nötigung und sexuellen Hand- lungen mit einem Kind, Pornografie, Drohung und mehrfachen Vergehens gegen das Waffengesetz zugrunde. Insbesondere die rechtskräftige Frei- heitsstrafe von vier Jahren weise auf ein sehr schweres Verschulden hin und lasse das Verhalten und damit die persönlichen Verhältnisse des Be- schwerdeführers in einem ungünstigen Licht erscheinen. Demnach be- stehe ein gewichtiges öffentliches Interesse am Vollzug der Wegweisung. Ergänzend dazu sei festzuhalten, dass der Beschwerdeführer auch nach der Verurteilung zu einer mehrjährigen Freiheitsstrafe erneut strafrechtlich in Erscheinung getreten sei (unerlaubter Waffenbesitz und Drohung). Hinzu komme, dass der Beschwerdeführer seit seinem Aufenthalt in der Schweiz auch wiederholt fürsorgeabhängig gewesen sei und somit auch aus dieser Hinsicht ein öffentliches Interesse an seinem Vollzug bestehe.</w:t>
      </w:r>
    </w:p>
    <w:p>
      <w:r>
        <w:rPr>
          <w:b/>
        </w:rPr>
        <w:t>E. 6.3.3</w:t>
      </w:r>
    </w:p>
    <w:p>
      <w:r>
        <w:t>Das SEM hat in der aktuellen, angefochtenen Verfügung erneut aus- geführt, weshalb auch heute noch das öffentliche Interesse der Schweiz am Vollzug der Wegweisung gegenüber dem privaten Interesse des Be- schwerdeführers, sich auf allfällige Wegweisungsvollzugshindernisse ge- mäss Art. 83 Abs. 4 AIG zu berufen, überwiegt.</w:t>
      </w:r>
    </w:p>
    <w:p>
      <w:r>
        <w:rPr>
          <w:b/>
        </w:rPr>
        <w:t>E. 6.3.4</w:t>
      </w:r>
    </w:p>
    <w:p>
      <w:r>
        <w:t>Die vorinstanzlichen Ausführungen und Schlussfolgerungen sind in keiner Weise zu beanstanden und zu bestätigen. An der mit vorgenanntem Urteil E-4896/2019 vom 10. März 2022 – und damit nach wie vor aktuellen – Erwägungen und Schlussfolgerungen des Bundesverwaltungsgerichts hat sich zwischenzeitlich nichts rechtserheblich verändert. Es kann daher vollständig auf die damaligen Erwägungen des Gerichts sowie auf die nun in der angefochtenen Verfügung vorgenommenen Ausführungen verwie- sen werden, welche weiterhin Gültigkeit haben. Der Beschwerdeführer ver- mag hiergegen mit den in seiner Rechtsmitteleingabe vorgetragenen, zu- meist bereits bekannten und berücksichtigten Vorbringen offenkundig keine andere Sichtweise zu begründen.</w:t>
      </w:r>
    </w:p>
    <w:p>
      <w:r>
        <w:t>E-6667/2023 Seite 16 Ergänzend ist darauf hinzuweisen, dass der Beschwerdeführer auch seit vorgenanntem Urteil des Bundesverwaltungsgerichts erneut ein weiteres Strafurteil erwirkt hat und mit Urteil des G._______ vom (…) der vorsätzli- chen Widerhandlung gegen das Ausländergesetz schuldig gesprochen und zu einer Geldstrafe von 50 Tagessätzen verurteilt wurde, womit die Delin- quenz des Beschwerdeführers auch aktuell ihren Fortgang findet. Soweit sich der Beschwerdeführer zu der Wertung versteigt, ein «allfälli- ges» öffentliches Interesse an seiner Wegweisung sei «keinesfalls» über- wiegend, darf mit Deutlichkeit darauf hingewiesen werden, dass er durch seine Straffälligkeit teilweise gegen zentrale Werte unserer Gesellschaft (unter anderem die sexuelle Integrität eines Kindes) mehrfach verstossen hat und bereits hieraus ein sehr hohes öffentliches Interesse an seiner kon- sequenten Wegweisung besteht. Rein illustrativ darf in diesem Zusammen- hang ergänzend darauf hingewiesen werden, dass die strafrechtliche Be- urteilung alleine dieser einen Straftat für sich alleine heute bereits zwin- gend zu einer obligatorischen Landesverweisung nach Artikel 66a Absatz 1 Ziffer h StGB führen würde, was das öffentliche Interesse an der Weg- weisung solcher Straftäter unterstreicht. Sofern der Beschwerdeführer ins- gesamt in seiner langjährigen, fortgesetzten und teilweise schwerwiegen- den Delinquenz kein öffentliches Wegweisungsinteresse zu erkennen ver- mag, erfolgt dies in offener Verkennung der Sachlage und offenbart im Üb- rigen auch eine erschütternd fehlende Einsicht in die Tragweite seines de- liktischen Verhaltens.</w:t>
      </w:r>
    </w:p>
    <w:p>
      <w:r>
        <w:rPr>
          <w:b/>
        </w:rPr>
        <w:t>E. 6.3.5</w:t>
      </w:r>
    </w:p>
    <w:p>
      <w:r>
        <w:t>Insgesamt ist festzuhalten, dass die im Urteil E-4896/2019 vom</w:t>
      </w:r>
    </w:p>
    <w:p>
      <w:r>
        <w:rPr>
          <w:b/>
        </w:rPr>
        <w:t>E. 6.3.6</w:t>
      </w:r>
    </w:p>
    <w:p>
      <w:r>
        <w:t>Wie von der Vorinstanz zu Recht festgehalten, überwiegt das öffent- liche Interesse am Vollzug der Wegweisung das persönliche Interesse des Beschwerdeführers am Verbleib in der Schweiz. Der Ausschluss von der vorläufigen Aufnahme gemäss Art. 83 Abs. 7 AIG ist daher als (klar) ver- hältnismässig einzustufen.</w:t>
      </w:r>
    </w:p>
    <w:p>
      <w:r>
        <w:t>E-6667/2023 Seite 17</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durchführbar und zulässig bezeichnet. Eine Anordnung der vor- 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Die Beschwerde hat sich als von vornherein aussichtslos erwiesen. Die mit der Beschwerdeschrift gestellten Gesuche um Gewährung der unent- geltlichen Prozessführung und der amtlichen Rechtsverbeiständung sind daher abzuweisen. 8.2 Als Folge der Abweisung der Beschwerde sind die Kosten des Verfah- rens somit dem Beschwerdeführer aufzuerlegen (Art. 63 Abs. 1 und 5 VwVG). Die Kosten sind auf Fr. 1’500.– festzusetzen (Art. 1–3 des Regle- ments vom 21. Februar 2008 über die Kosten und Entschädigungen vor dem Bundesverwaltungsgericht [VGKE, SR 173.320.2] i.V.m. Art. 16 Abs. 1 Bst. a VGG).</w:t>
      </w:r>
    </w:p>
    <w:p>
      <w:r>
        <w:t>(Dispositiv nächste Seite)</w:t>
      </w:r>
    </w:p>
    <w:p>
      <w:r>
        <w:t>E-6667/2023 Seite 18</w:t>
      </w:r>
    </w:p>
    <w:p>
      <w:r>
        <w:rPr>
          <w:b/>
        </w:rPr>
        <w:t>E. 7</w:t>
      </w:r>
    </w:p>
    <w:p>
      <w:r>
        <w:t>Bst. a AIG).</w:t>
      </w:r>
    </w:p>
    <w:p>
      <w:r>
        <w:rPr>
          <w:b/>
        </w:rPr>
        <w:t>E. 8.1</w:t>
      </w:r>
    </w:p>
    <w:p>
      <w:r>
        <w:t>Die Beschwerde hat sich als von vornherein aussichtslos erwiesen. Die mit der Beschwerdeschrift gestellten Gesuche um Gewährung der unentgeltlichen Prozessführung und der amtlichen Rechtsverbeiständung sind daher abzuweisen.</w:t>
      </w:r>
    </w:p>
    <w:p>
      <w:r>
        <w:rPr>
          <w:b/>
        </w:rPr>
        <w:t>E. 8.2</w:t>
      </w:r>
    </w:p>
    <w:p>
      <w:r>
        <w:t>Als Folge der Abweisung der Beschwerde sind die Kosten des Verfahrens somit dem Beschwerdeführer aufzuerlegen (Art. 63 Abs. 1 und 5 VwVG). Die Kosten sind auf Fr. 1'500.- festzusetzen (Art. 1-3 des Reglements vom 21. Februar 2008 über die Kosten und Entschädigungen vor dem Bundesverwaltungsgericht [VGKE, SR 173.320.2] i.V.m. Art. 16 Abs. 1 Bst. a VGG). (Dispositiv nächste Seite)</w:t>
      </w:r>
    </w:p>
    <w:p>
      <w:r>
        <w:rPr>
          <w:b/>
        </w:rPr>
        <w:t>E. 10</w:t>
      </w:r>
    </w:p>
    <w:p>
      <w:r>
        <w:t>März 2022 getroffene Feststellung des Bundesverwaltungsgerichts, dass keine Sachumstände erkennbar sind, um den Wegweisungsvollzug als unverhältnismässig erscheinen zu lassen, nichts an Aktualität einge- büsst und weiterhin Gültigkeit haben. Die in der angefochtenen Verfügung vorgenommenen Erwägungen erweisen sich in diesem Licht daher als zu- treffend und vermögen durch die Vorbringen auf Beschwerdeebene offen- kundig nicht in Zweifel 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