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E-6654/2019 vom 16. Januar 2020</w:t>
      </w:r>
    </w:p>
    <w:p>
      <w:r>
        <w:t>Bundesverwaltungsgericht, 2020-01-16, DE</w:t>
      </w:r>
    </w:p>
    <w:p>
      <w:r>
        <w:rPr>
          <w:b/>
        </w:rPr>
        <w:t xml:space="preserve">Quelle: </w:t>
      </w:r>
      <w:r>
        <w:t>https://mcp.opencaselaw.ch/entscheid/bvger_E-6654_2019</w:t>
      </w:r>
    </w:p>
    <w:p>
      <w:r>
        <w:t>FR: TAF E-6654/2019 du 16 janvier 2020</w:t>
      </w:r>
    </w:p>
    <w:p>
      <w:r>
        <w:t>IT: TAF E-6654/2019 del 16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1.3</w:t>
      </w:r>
    </w:p>
    <w:p>
      <w:r>
        <w:t>Das Verfahren richtet sich nach dem VwVG, soweit das VGG und das AsylG nichts anderes bestimmen (Art. 37 VGG, Art. 6 AsylG).</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w:t>
      </w:r>
    </w:p>
    <w:p>
      <w:r>
        <w:rPr>
          <w:b/>
        </w:rPr>
        <w:t>E. 3</w:t>
      </w:r>
    </w:p>
    <w:p>
      <w:r>
        <w:t>Da mit Zwischenverfügung vom 19. Dezember 2019 das Beschwerdeverfahren zur Datenbereinigung im ZEMIS vom Asylverfahren getrennt wurde, ist im vorliegenden Urteil nur zu beurteilen, ob die Vorinstanz den Beschwerdeführer zu Recht als volljährigen Asylsuchenden behandelt und das Asylgesuch zu Recht abgewiesen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Zunächst ist zu prüfen, ob das SEM zu Recht von der Volljährigkeit des Beschwerdeführers ausgegangen ist und die Anhörung zu Recht ohne eine Vertrauensperson stattgefunden hat.</w:t>
      </w:r>
    </w:p>
    <w:p>
      <w:r>
        <w:rPr>
          <w:b/>
        </w:rPr>
        <w:t>E. 5.1</w:t>
      </w:r>
    </w:p>
    <w:p>
      <w:r>
        <w:t>Eine geltend gemachte Minderjährigkeit ist von der asylsuchenden Person zu beweisen, soweit ihr ein Beweis möglich ist, und andernfalls wenigstens glaubhaft zu machen ist, da sie die Beweislast dafür trägt, auch wenn das SEM die entscheidrelevanten Sachverhaltsmomente von Amtes wegen festzustellen hat (vgl EMARK 2004 Nr. 30 E. 5.3.3; BVGE 2018/VI/3 E. 4.2.3 m.w.H.). Im Rahmen einer Gesamtwürdigung ist eine Abwägung aller Anhaltspunkte, die für oder gegen die Richtigkeit der betreffenden Altersangabe sprechen, vorzunehmen (vgl. BVGE 2009/54 E. 4.1).</w:t>
      </w:r>
    </w:p>
    <w:p>
      <w:r>
        <w:rPr>
          <w:b/>
        </w:rPr>
        <w:t>E. 5.2</w:t>
      </w:r>
    </w:p>
    <w:p>
      <w:r>
        <w:t>Nach Durchsicht der Akten kommt das Bundesverwaltungsgericht im Ergebnis zum Schluss, dass das SEM zu Recht von der Volljährigkeit des Beschwerdeführers ausgegangen ist und es dem Beschwerdeführer nicht gelungen ist, seine Minderjährigkeit glaubhaft zu machen. Das SEM hat überzeugend dargelegt, dass der Beschwerdeführer insgesamt nur vage Angaben zu seinem Alter und seinem Lebenslauf hat machen können. Insbesondere leuchtet nicht ein, weshalb der Beschwerdeführer sein Alter nicht im afghanischen Kalender, sondern nur im europäischen Kalender hat angeben können, während er gleichzeitig behauptet, er habe die Angaben vom einen in den anderen Kalender umgerechnet (Akte [...]-10/12 [nachfolgend Akte A10], F1.06). Des Weiteren war er nicht in der Lage, Angaben über das Alter seiner Eltern, seiner Geschwister sowie über das Datum beziehungsweise sein Alter bei der Beendigung der Schule zu machen (A10, F1.16.04, F1.17.04, F3.01, F9.01). Auch sein Alter während der Einschulung konnte er nur vage angeben (A10, F1.17.04). Daneben spricht auch seine Angabe gegenüber der griechischen Asylbehörde, er sei am [anderes Geburtsdatum als Volljähriger] geboren und somit volljährig (Akte [...]-17/1), für die Unglaubhaftigkeit seiner behaupteten Minderjährigkeit. Der Einwand des Beschwerdeführers, er habe in Griechenland absichtlich ein falsches Geburtsdatum angegeben, um nicht in den Strukturen für minderjährige Asylsuchende untergebracht zu werden, überzeugt nicht. Es ist nicht ersichtlich, inwiefern ihm dies - auch unter Berücksichtigung einer beabsichtigten Weiterreise - zu einem Nachteil hätte erwachsen sollen. Soweit er sagt, sein Bruder B._______ (N [...]) habe seine Minderjährigkeit in seinem Asylverfahren bestätigt, ist festzustellen, dass B._______ gemäss ZEMIS seinerseits zwei Geburtsdaten geltend gemacht hat, nämlich den (...) 1997 beziehungsweise den (...) 1999. Beide Daten bestätigen die Minderjährigkeit des Beschwerdeführers nicht, nachdem er sagte, B._______ sei etwa ein Jahr älter als er (A10, F3.01). Insgesamt sind in seinen Aussagen zahlreiche Hinweise ersichtlich, wonach die behauptete Minderjährigkeit überwiegend unglaubhaft erscheint.</w:t>
      </w:r>
    </w:p>
    <w:p>
      <w:r>
        <w:rPr>
          <w:b/>
        </w:rPr>
        <w:t>E. 5.3</w:t>
      </w:r>
    </w:p>
    <w:p>
      <w:r>
        <w:t>Zudem ist es dem Beschwerdeführer nicht gelungen, sein Geburtsdatum anhand rechtsgenüglicher Identitätspapiere zu belegen. Er hat zwar eine Tazkara eingereicht, dieser kommt gemäss Rechtsprechung jedoch nur ein verminderter Beweiswert zu, da sie nicht fälschungssicher ist (BVGE 2013/30, E. 4.2.2). Der Beschwerdeführer hat diesbezüglich treffend dargelegt, dass die Tazkara dennoch zumindest als schwaches Indiz hinzugezogen werden kann. Vorliegend überwiegen indes die Hinweise, welche für eine Volljährigkeit des Beschwerdeführers sprechen, weshalb die eingereichte Tazkara angesichts ihres beschränkten Beweiswertes nichts an der obigen Einschätzung zu ändern vermag. Zudem hat die Vorinstant zu Recht darauf hingewiesen, dass der Bruder des Beschwerdeführers die Tazkara im November 2019 neu hat ausstellen lassen, was den Beweiswert zusätzlich mindert.</w:t>
      </w:r>
    </w:p>
    <w:p>
      <w:r>
        <w:rPr>
          <w:b/>
        </w:rPr>
        <w:t>E. 5.4</w:t>
      </w:r>
    </w:p>
    <w:p>
      <w:r>
        <w:t>In der Beschwerde wird beantragt, das SEM solle ein medizinisches Altersgutachten durchführen lassen. Gemäss Art. 17 Abs. 3bis AsylG kann das SEM nach Ermessen ein medizinisches Altersgutachten veranlassen. Vorliegend ist die Vorinstanz zum Schluss gekommen, dass genügende Anhaltspunkte, welche für die Volljährigkeit des Beschwerdeführers sprechen, ersichtlich sind und hat diese auch im Einzelnen aufgeführt. Sie war somit nicht verpflichtet, ein medizinisches Altersgutachten durchzuführen. Gemäss obigen Erwägungen sind die Ausführungen des SEM hinsichtlich der Volljährigkeit des Beschwerdeführers zu bestätigen, weshalb das Gericht auch auf Beschwerdestufe keinen Anlass sieht, ein medizinisches Altersgutachten einzuholen.</w:t>
      </w:r>
    </w:p>
    <w:p>
      <w:r>
        <w:rPr>
          <w:b/>
        </w:rPr>
        <w:t>E. 5.5</w:t>
      </w:r>
    </w:p>
    <w:p>
      <w:r>
        <w:t>Zusammenfassend ist es dem Beschwerdeführer nicht gelungen, seine behauptete Minderjährigkeit glaubhaft zu machen und das SEM hat ihn zu Recht als volljährigen Asylsuchenden im Verfahren behandelt.</w:t>
      </w:r>
    </w:p>
    <w:p>
      <w:r>
        <w:rPr>
          <w:b/>
        </w:rPr>
        <w:t>E. 6</w:t>
      </w:r>
    </w:p>
    <w:p>
      <w:r>
        <w:t>In der Beschwerde wird ferner gerügt, das SEM habe die Asylvorbringen, namentlich die Festnahme und die Inhaftierung durch die Taliban, zu Unrecht als unglaubhaft eingestuft.</w:t>
      </w:r>
    </w:p>
    <w:p>
      <w:r>
        <w:rPr>
          <w:b/>
        </w:rPr>
        <w:t>E. 6.1</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(vgl. EMARK 2004 Nr. 1 E. 5a).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EMARK 1996 Nr. 28 E. 3a).</w:t>
      </w:r>
    </w:p>
    <w:p>
      <w:r>
        <w:rPr>
          <w:b/>
        </w:rPr>
        <w:t>E. 6.2</w:t>
      </w:r>
    </w:p>
    <w:p>
      <w:r>
        <w:t>Wie nachfolgend aufgezeigt, vermögen die Ausführungen in der Beschwerde indessen keine Änderung der angefochtenen Verfügung herbeizuführen. Das Bundesverwaltungsgericht schliesst sich im Ergebnis den vorinstanzlichen Erwägungen an und erachtet die Asylvorbringen des Beschwerdeführers als nicht glaubhaft.</w:t>
      </w:r>
    </w:p>
    <w:p>
      <w:r>
        <w:rPr>
          <w:b/>
        </w:rPr>
        <w:t>E. 6.2.1</w:t>
      </w:r>
    </w:p>
    <w:p>
      <w:r>
        <w:t>Der Vorinstanz ist zunächst beizustimmen, dass sich der Beschwerdeführer in zentralen Punkten widersprochen hat. In der Erstbefragung hat er klar zum Ausdruck gebracht, dass er an einem Ort festgehalten worden und nach einigen Tagen wieder freigelassen worden sei, da er noch minderjährig gewesen sei (A10, F7.01). Demgegenüber gab er in der Anhörung zu Protokoll, er sei an zwei verschiedenen Orten während etwa 20 bis 25 Tagen beziehungsweise bis zu einem Monat festgehalten worden, bevor ihm die Flucht gelungen sei (Akte [...]-35/17 [nachfolgend A35], F47, F68). Die diesbezüglichen Erklärungen in der Beschwerde (unter Verweis auf die Stellungnahme zum Entscheidentwurf vom 4. Dezember 2019) vermögen aber nicht zu überzeugen. Dem Beschwerdeführer ist zwar insofern Recht zu geben, dass angesichts des summarischen Charakters der Erstbefragung Widersprüche zwischen der Erstbefragung und der Anhörung mit Vorsicht zu behandeln sind. Es handelt sich vorliegend jedoch um deutliche Widersprüche, die nicht lediglich mit dem summarischen Charakter der Erstbefragung erklärbar sind. Es ist nicht nachvollziehbar, weshalb er während der Erstbefragung angegeben hat, er sei von den Taliban angesichts seiner Minderjährigkeit freigelassen worden, während er anlässlich der Anhörung gesagt hat, ihm sei die Flucht gelungen. Die Erklärung in der Stellungnahme zum Entscheidentwurf, es habe sich in der Erstbefragung um eine sprachliche Ungenauigkeit gehandelt und er habe damit sagen wollen, er sei von den Taliban aufgrund seiner Minderjährigkeit nicht getötet worden, leuchtet nicht ein. Eine solche sprachliche Ungenauigkeit dürfte ihm bei der Rückübersetzung des Protokolls aufgefallen sein, da es sich um eine erhebliche Abweichung seiner Darstellung während der Anhörung handelte. Auch seine in der Beschwerde vertretene Ansicht, dass es sich bei der Ausdrucksweise «an einem Ort» nicht zwingend um die Anzahl Orte handeln müsse, überzeugt nicht, zumal aus der Erstbefragung in keiner Weise hervorgeht, dass es sich um zwei Orte gehandelt habe (A10, F7.01). Ebenso handelt es sich bei den vom SEM korrekt aufgelisteten Ungereimtheiten betreffend den Arbeitsausweis um einen deutlichen Widerspruch im Sachvortrag. Seine persönliche Glaubwürdigkeit, welche angesichts der behaupteten, aber nicht glaubhaft gewordenen Minderjährigkeit bereits vermindert ist, ist aufgrund der widersprüchlichen Darstellung seiner Asylvorbringen weiter in Frage zu stellen.</w:t>
      </w:r>
    </w:p>
    <w:p>
      <w:r>
        <w:rPr>
          <w:b/>
        </w:rPr>
        <w:t>E. 6.2.2</w:t>
      </w:r>
    </w:p>
    <w:p>
      <w:r>
        <w:t>Des Weiteren ist der Vorinstanz beizupflichten, dass es den Schilderungen des Beschwerdeführers insgesamt an erlebnisgeprägten Merkmalen fehlt. Zwar hat die Vorinstanz ebenfalls treffend festgestellt, dass der Beschwerdeführer in seiner freien Rede zu den Asylgründen während der Anhörung relativ viel erzählt und dabei auch einige Details genannt hat (A35, F47). In den nachfolgenden Präzisierungsfragen blieben seine Aussagen jedoch überwiegend unsubstantiiert. In der Beschwerde wird demgegenüber die Ansicht vertreten, dass auch in den nachfolgenden Antworten diverse Realkennzeichen ersichtlich seien. Zwar ist in der vom Beschwerdeführer diesbezüglich zitierten Stelle tatsächlich ein Realkennzeichen auszumachen, indem er seine Gefühle während der Inhaftierung mit einer Metapher vergleicht (A35, F77). Ansonsten blieben seine Ausführungen indes mehrheitlich unsubstantiiert. Beispielsweise hat er nur vage umschrieben, wie die Personen, welche in den Bus gekommen seien, ausgesehen hätten (A35, F64) oder was ihm von der Zeit in Haft in Erinnerung geblieben sei (A35, F71). Auch seine Ausführungen zur Flucht blieben auf Nachfrage vage (A35, F78ff). Die Erklärung in der Stellungnahme zum Entscheidentwurf, er sei angesichts seines Gesundheitszustands nicht in der Lage gewesen, nach der langen, freien Rede erneut detailliert über die Haft zu sprechen, leuchtet nicht ein. Aus den Akten sind keine Hinweise ersichtlich, wonach die unsubstantiierten Angaben auf seinen Gesundheitszustand zurückzuführen seien. Er gab zwar auf Nachfrage an, es gehe ihm nicht gut und er habe Kopfschmerzen, Augenschmerzen und Schmerzen im Rippenbereich (A35, F112). Dass sich dies auf seine Aussagefähigkeit erheblich ausgewirkt habe, gab er nicht an und die anwesende Rechtsvertretung hat ebenfalls keinen entsprechenden Hinweis vorgebracht. Auch die Anmerkung in der Beschwerde, dass ein geschlossener Fragestil zu kürzeren Antworten führe, vermag nicht das Fehlen von erlebnisgeprägten Realkennzeichen zu erklären. Insgesamt ist festzustellen, dass der Beschwerdeführer zwar seine Vorbringen in einer chronologischen Reihenfolge vergleichsweise detailliert angeben konnte, dass aber auf spezifische Nachfragen überwiegend qualitative Realkennzeichen fehlen. Dies lässt auf eine Erzählung schliessen, die nicht auf tatsächlich selber erlebten Ereignissen basiert.</w:t>
      </w:r>
    </w:p>
    <w:p>
      <w:r>
        <w:rPr>
          <w:b/>
        </w:rPr>
        <w:t>E. 6.2.3</w:t>
      </w:r>
    </w:p>
    <w:p>
      <w:r>
        <w:t>Dem Vorbringen in der Beschwerde, es sei als Indiz für die Glaubhaftigkeit nicht auszuschliessen, dass der diagnostizierte [Krankheit] auf die erlebte Misshandlung durch die Taliban zurückzuführen sei, kann sich das Gericht nicht anschliessen. Zum einen gibt es für einen [Krankheit] die verschiedensten medizinisch möglichen Ursachen, andererseits hätten sich die angeblichen Misshandlungen fast ein Jahr vor der Diagnosestellung ereignet, was den behaupteten kausalen Zusammenhang unwahrscheinlich erscheinen lässt.</w:t>
      </w:r>
    </w:p>
    <w:p>
      <w:r>
        <w:rPr>
          <w:b/>
        </w:rPr>
        <w:t>E. 6.3</w:t>
      </w:r>
    </w:p>
    <w:p>
      <w:r>
        <w:t>Nach dem Gesagten ist festzuhalten, dass nach einer Gesamtabwägung aller Elemente, die für oder gegen die Glaubhaftigkeit sprechen, insgesamt die negativen Glaubhaftigkeitselemente überwiegen, weshalb die Inhaftierung durch die Taliban nicht geglaubt werden kann. Alles in allem bleiben vorliegend die Schilderungen unsubstantiiert und es fehlen Anhaltspunkte und Realkennzeichen dafür, dass der Beschwerdeführer das Geschilderte tatsächlich in der von ihm vorgetragenen Weise durchlebt hat. Es ist dem Beschwerdeführer nicht gelungen, eine asylrelevante Verfolgung in Afghanistan glaubhaft zu machen.</w:t>
      </w:r>
    </w:p>
    <w:p>
      <w:r>
        <w:rPr>
          <w:b/>
        </w:rPr>
        <w:t>E. 7</w:t>
      </w:r>
    </w:p>
    <w:p>
      <w:r>
        <w:t>In Bezug auf die geltend gemachte Tätigkeit für die US-amerikanische Firma C._______ ist dem SEM beizupflichten, dass diese für sich gesehen die Flüchtlingseigenschaft nicht begründen kann, weshalb offen bleiben kann, ob der Beschwerdeführer tatsächlich für die Firma gearbeitet hat. In der Beschwerde wurde zwar treffend darauf hingewiesen, dass Personen, welche in Afghanistan für eine ausländische Organisation tätig sind, ein erhöhtes Risikoprofil aufweisen und einer erhöhten Gefahr ausgesetzt sind, ins Visier der Taliban zu geraten. Gemäss den UNHCR Richtlinien zur Feststellung des internationalen Schutzbedarfes afghanischer Asylsuchender sind primär Personen gefährdet, welche für internationale Entwicklungs- und Hilfsorganisationen sowie ausländische Streitkräfte tätig sind (UNHCR Richtlinien zur Feststellung des internationalen Schutzbedarfes afghanischer Asylsuchender, 30. August 2018, Abschnitt III A. Ziff. 1, https://www.refworld.org/cgi-bin/texis/vtx/rwmain/opendocpdf.pdf?reldoc=y&amp;docid=5be58a5d4). Auch gemäss konstanter Rechtsprechung des Gerichts sind Personengruppen erkennbar, die ein erhöhtes Risiko aufweisen, aufgrund ihrer Exponiertheit einer Verfolgung ausgesetzt zu sein. Dazu gehören unter anderem Personen, die für die internationalen Streitkräfte tätig sind oder der internationalen Gemeinschaft nahestehen oder als Unterstützer derselben wahrgenommen werden (vgl. dazu bspw. die Urteile des BVGer D-7444/2018 vom 5. Dezember 2019 E. 6.2.6. und D-7326/2014 vom 15. Juli 2015 E.5.1, je m.w.H.). Es ist jedoch in jedem Einzelfall, auch bei Vorliegen eines Risikofaktors, eine einzelfallspezifische Prüfung, ob die asylsuchende Person eine begründete Furcht vor Verfolgung hat, vorzunehmen. Dem Beschwerdeführer ist es nicht gelungen, tatsächlich erlebte Nachteile aufgrund seiner Tätigkeit für die US-amerikanische Firma glaubhaft zu machen. Auch sonst bestehen keine hinreichenden Anhaltspunkte, wonach dem Beschwerdeführer bei einer Rückkehr eine asylrelevante Verfolgung drohen würde. Der Beschwerdeführer hat zwar geltend gemacht, dass gemäss Information seiner Eltern sein Bruder in Afghanistan von den Taliban getötet worden sei und die Familie vor Kurzem Drohbriefe erhalten habe. Die Familie habe dem Beschwerdeführer jedoch den Inhalt der Drohbriefe nicht mitgeteilt (vgl. Beschwerdeschrift Ziff 4.3) und auch über den Hintergrund des Todes des Bruders konnte er nichts Konkretes angeben, sondern äusserte lediglich die Vermutung, dass dessen Tod mit ihm zu tun habe (A35, F92-F97). Diese Aussagen bleiben somit äusserst vage und unbelegt und sind nicht geeignet, eine generelle Gefährdung des Beschwerdeführers in Afghanistan zu begründen. Es sind somit keine hinreichenden, objektiven Anhaltspunkte ersichtlich, wonach der Beschwerdeführer eine begründete Furcht hätte, bei einer Rückkehr nach Afghanistan in absehbarer Zukunft einer asylrelevanten Verfolgung ausgesetzt zu sein. Das SEM hat somit zu Recht seine Flüchtlingseigenschaft verneint und das Asylgesuch zu Recht abgelehnt.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das SEM in seiner Verfügung vom 5. Dezember 2019 die vorläufige Aufnahme des Beschwerdeführers in der Schweiz angeordnet hat, erübrigen sich praxisgemäss weitere Ausführungen zur Zulässigkeit, Zumutbarkeit und Möglichkeit des Wegweisungsvollzugs. Die vorläufige Aufnahme tritt mit dem vorliegenden Entscheid formell in Rechtskraft.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In der Beschwerde wird die Gewährung der unentgeltlichen Prozessführung beantragt, einhergehend mit dem Verzicht auf die Erhebung eines Kostenvorschusses. Dieser Antrag ist in Bezug auf die Gewährung der unentgeltlichen Prozessführung gutzuheissen, da die Beschwerdevorbringen nicht aussichtslos waren und der Beschwerdeführer nach Aktenlage bedürftig ist (Art. 65 Abs. 1 VwVG). Das Gesuch um Verzicht auf die Erhebung eines Kostenvorschusses wird mit dem vorliegenden Urteil gegenstandslos.</w:t>
      </w:r>
    </w:p>
    <w:p>
      <w:r>
        <w:rPr>
          <w:b/>
        </w:rPr>
        <w:t>E. 10.2</w:t>
      </w:r>
    </w:p>
    <w:p>
      <w:r>
        <w:t>Bei diesem Ausgang des Verfahrens wären die Kosten dem Beschwerdeführer aufzuerlegen (Art. 63 Abs. 1 VwVG). Da der Antrag auf Gewährung der unentgeltlichen Prozessführung jedoch mit diesem Urteil gutgeheissen wird,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