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E-6642/2024 vom 24. September 2024</w:t>
      </w:r>
    </w:p>
    <w:p>
      <w:r>
        <w:t>Bundesverwaltungsgericht, 2024-09-24, DE</w:t>
      </w:r>
    </w:p>
    <w:p>
      <w:r>
        <w:rPr>
          <w:b/>
        </w:rPr>
        <w:t xml:space="preserve">Quelle: </w:t>
      </w:r>
      <w:r>
        <w:t>https://mcp.opencaselaw.ch/entscheid/bvger_E-6642_2024_d20240924</w:t>
      </w:r>
    </w:p>
    <w:p>
      <w:r>
        <w:t>FR: TAF E-6642/2024 du 24 septembre 2024</w:t>
      </w:r>
    </w:p>
    <w:p>
      <w:r>
        <w:t>IT: TAF E-6642/2024 del 24 settembre 2024</w:t>
      </w:r>
    </w:p>
    <w:p>
      <w:pPr>
        <w:pStyle w:val="Heading2"/>
      </w:pPr>
      <w:r>
        <w:t>Regeste</w:t>
      </w:r>
    </w:p>
    <w:p>
      <w:r>
        <w:t>Verweigerung vor&amp;uuml;bergehender Schutz | Verweigerung vorübergehender Schutz; Verfügung des SEM vom 24. September 2024</w:t>
      </w:r>
    </w:p>
    <w:p>
      <w:pPr>
        <w:pStyle w:val="Heading2"/>
      </w:pPr>
      <w:r>
        <w:t>Erwägungen</w:t>
      </w:r>
    </w:p>
    <w:p>
      <w:r>
        <w:rPr>
          <w:b/>
        </w:rPr>
        <w:t>E. 3</w:t>
      </w:r>
    </w:p>
    <w:p>
      <w:r>
        <w:t>Mai 2018 E. 3.1 m.w.H.), dass das Bundesgericht namentlich ein Zusammenleben von drei respek- tive vier Jahren für sich allein noch nicht als ausreichend erachtet, um ei- nen entsprechenden Anspruch zu begründen (vgl. Urteile des BGer 2C_1194/2012 vom 31. Mai 2013 E. 4 m.w.H., 2C_1035/2012 vom 21. De- zember 2012 E. 5.2; vgl. auch Urteile des BVGer D-2039/2020 vom 20. No- vember 2020 E. 5.2; E-4404/2022 vom 18. Dezember 2023 E. 6.2), dass das Gericht in Übereinstimmung mit der Vorinstanz zum Schluss ge- langt, dass die Beziehung zwischen Y. und der Beschwerdeführerin diesen Anforderungen nicht zu genügen vermag, da sie erst seit Oktober 2022 ein Paar sind, also im Urteilszeitpunkt seit gut zwei Jahren eine Beziehung führen, erst seit ihrer Einreise in die Schweiz Mitte Januar 2024 zusam- menleben und keine gemeinsamen Kinder haben, dass es sich unter Berücksichtigung der zitierten bundesgerichtlichen Rechtsprechung bei der Beziehung der Beschwerdeführerin und Y. auf- grund ihrer Qualität und Dauer somit nicht um eine eheähnliche</w:t>
      </w:r>
    </w:p>
    <w:p>
      <w:r>
        <w:t>E-6642/2024 Seite 10 Lebensgemeinschaft handelt, welche in den Schutzbereich von Art. 8 EMRK fallen würde, dass die vorgebrachten Heiratsbemühungen wohl auf einen Willen zur Eheschliessung hinweisen, aber im Sinne der geltenden Praxis keine un- mittelbar bevorstehende Hochzeit belegen können, wobei darauf hinzuwei- sen ist, dass die Beschwerdeführerin den Abschluss eines allfälligen Ehe- schliessungsverfahrens im Ausland abwarten kann, dass auch der in der Beschwerde vorgebrachte Aspekt des Kindeswohls zu keiner anderen Einschätzung führt, da sich aus der UNO-Kinderrechts- konvention einerseits kein direkt ableitbarer Anspruch auf Familiennach- zug (vgl. BGE 140 I 145 E. 3.2, 139 I 315 E. 2.4 oder 126 II 377 E. 5d) ergibt, Y. nicht der leibliche Vater ist, und eine Pflege ihrer Beziehung auch bei einer örtlichen Trennung grundsätzlich weiter möglich ist, dass somit das Vorliegen einer schützenswerten Familiengemeinschaft zum heutigen Zeitpunkt zu verneinen ist, die Ausführungen des SEM ge- stützt auf die Aktenlage zu bestätigen und durch die Einwände in der Rechtsmitteleingabe sowie die eingereichten respektive in Aussicht gestell- ten Beweismittel im Sinne einer antizipierten Beweiswürdigung nicht zu entkräften sind, vorliegend insbesondere kein Kanton 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(vgl. Art. 69 Abs. 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w:t>
      </w:r>
    </w:p>
    <w:p>
      <w:r>
        <w:t>E-6642/2024 Seite 11 dass die Beschwerdeführerinnen in der Schweiz keine Asylgesuche ge- stellt habe und den Akten demnach keine Hinweise auf eine Verletzung des flüchtlingsrechtlichen Refoulement-Verbots (Art. 5 Abs. 1 AsylG; vgl. ebenso Art. 33 Abs. 1 des Abkommens vom 28. Juli 1951 über die Rechts- stellung der Flüchtlinge [FK, SR 0.142.30]) zu entnehmen sind, dass auch keine Anhaltspunkte für eine im Herkunftsstaat drohende men- schenrechtswidrige Behandlung im Sinn von Art. 25 Abs. 3 BV, von Art. 3 des Übereinkommens vom 10. Dezember 1984 gegen Folter und andere grausame, unmenschliche oder erniedrigende Behandlung oder Strafe (FoK, SR 0.105) und der Praxis zu Art. 3 EMRK ersichtlich sind, womit der Vollzug sich als zulässig erweist, dass gemäss Art. 83 Abs. 4 AIG der Vollzug der Wegweisung für Auslän- derinnen und Ausländer unzumutbar sein kann, wenn sie im Herkunftsstaat aufgrund von Situationen wie Krieg, Bürgerkrieg, allgemeiner Gewalt und medizinischer Notlage konkret gefährdet sind, dass nach Art. 83 Abs. 5 AIG die Vermutung besteht, dass der Vollzug der Wegweisung in einen EU- oder EFTA-Staat in der Regel als zumutbar er- achtet wird (vgl. Anhang 2 der Verordnung über den Vollzug der Weg- und Ausweisung sowie der Landesverweisung von ausländischen Personen [VVWAL, SR 142.281]), dass es der betroffenen Person obliegt, diese gesetzliche Vermutung zu widerlegen, wobei sie ernsthafte Anhaltpunkte dafür vorzubringen hat, dass sie im betreffenden Staat aufgrund von individuellen Umständen so- zialer, wirtschaftlicher oder gesundheitlicher Art in eine existentielle Not- lage geraten würde (vgl. Referenzurteil des BVGer E-3427/2021 und E-3431/2021 vom 28. März 2022 E. 11.4), dass die Beschwerdeführerinnen in ihrer Beschwerdeeingabe nicht vor- bringen, der Wegweisungsvollzug sei nicht zumutbar und nicht davon aus- zugehen, dass die Beschwerdeführerinnen bei einer Rückkehr nach Deutschland in eine existentielle Notlage geraten würden, und sich solches auch nicht aus den Akten ergibt, dass der Vollzug der Wegweisung der Beschwerdeführerinnen in den Her- kunftsstaat schliesslich möglich ist, da keine Vollzugshindernisse bestehen (Art. 83 Abs. 2 AIG), und es ihnen obliegt, bei der Beschaffung gültiger Rei- sepapiere mitzuwirken (vgl. Art 72 i.V.m. Art. 8 Abs. 4 AsylG und dazu auch BVGE 2008/34 E. 12),</w:t>
      </w:r>
    </w:p>
    <w:p>
      <w:r>
        <w:t>E-6642/2024 Seite 12 dass nach dem Gesagten der vom Staatssekretariat verfügte Vollzug der Wegweisung zu bestätigen ist, dass die angefochtene Verfügung demnach Bundesrecht nicht verletzt, den rechtserheblichen Sachverhalt richtig sowie vollständig feststellt (Art. 106 Abs. 1 AsylG) und – soweit überprüfbar – angemessen ist, wes- halb die Beschwerde abzuweisen ist, dass die Gesuche um Gewährung der unentgeltlichen Prozessführung und amtliche Rechtsverbeiständung unbesehen der finanziellen Verhältnisse der Beschwerdeführerinnen abzuweisen sind, da die Beschwerde – ge- mäss den vorstehenden Erwägungen – als aussichtslos zu bezeichnen ist und es daher an einer gesetzlichen Grundlage zu deren Gewährung fehlt, dass bei diesem Ausgang des Verfahrens die Kosten von Fr. 750.– (Art. 1–3 des Reglements vom 21. Februar 2008 über die Kosten und Ent- schädigungen vor dem Bundesverwaltungsgericht [VGKE, SR 173.320.2]) der Beschwerdeführerin aufzuerlegen sind (Art. 63 Abs. 1 VwVG), dass der Antrag auf Verzicht der Erhebung eines Kostenvorschusses mit diesem Entscheid gegenstandslos wird. (Dispositiv nächste Seite)</w:t>
      </w:r>
    </w:p>
    <w:p>
      <w:r>
        <w:t>E-6642/2024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