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E-663/2008 vom 11. Januar 2010</w:t>
      </w:r>
    </w:p>
    <w:p>
      <w:r>
        <w:t>Bundesverwaltungsgericht, 2010-01-11, FR</w:t>
      </w:r>
    </w:p>
    <w:p>
      <w:r>
        <w:rPr>
          <w:b/>
        </w:rPr>
        <w:t xml:space="preserve">Quelle: </w:t>
      </w:r>
      <w:r>
        <w:t>https://mcp.opencaselaw.ch/entscheid/bvger_E-663_2008</w:t>
      </w:r>
    </w:p>
    <w:p>
      <w:r>
        <w:t>FR: TAF E-663/2008 du 11 janvier 2010</w:t>
      </w:r>
    </w:p>
    <w:p>
      <w:r>
        <w:t>IT: TAF E-663/2008 del 11 gennaio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w:t>
      </w:r>
    </w:p>
    <w:p>
      <w:r>
        <w:t>Le Tribunal ne peut statuer sur la rectification des données personnelles de l'intéressé, dans la mesure où l'ODM n'a rendu aucune décision sur ce point ; c'est seulement une fois celle-ci intervenue qu'elle pourra être contestée par les voies de droit ordinaires.</w:t>
      </w:r>
    </w:p>
    <w:p>
      <w:r>
        <w:rPr>
          <w:b/>
        </w:rPr>
        <w:t>E. 3.1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3.2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n° 2003 n° 17 consid. 2, p. 103-104).</w:t>
      </w:r>
    </w:p>
    <w:p>
      <w:r>
        <w:rPr>
          <w:b/>
        </w:rPr>
        <w:t>E. 4.1</w:t>
      </w:r>
    </w:p>
    <w:p>
      <w:r>
        <w:t>En l'espèce, arguant de son état de santé, le recourant remet en cause le caractère raisonnablement exigible, voire licite, de l'exécution du renvoi. La question à résoudre est donc de déterminer s'il s'agit en l'occurrence d'un point nouveau, et si les problèmes médicaux touchant l'intéressé ont une portée suffisante pour mener à une appréciation différente de celle effectuée en procédure ordinaire.</w:t>
      </w:r>
    </w:p>
    <w:p>
      <w:r>
        <w:rPr>
          <w:b/>
        </w:rPr>
        <w:t>E. 4.2</w:t>
      </w:r>
    </w:p>
    <w:p>
      <w:r>
        <w:t>En l'espèce, la décision réexaminée est celle du 24 juin 1998, rendue à une époque où le recourant ne présentait aucun trouble de santé. Le motif de réexamen soulevé est donc bien nouveau.</w:t>
      </w:r>
    </w:p>
    <w:p>
      <w:r>
        <w:rPr>
          <w:b/>
        </w:rPr>
        <w:t>E. 5.1</w:t>
      </w:r>
    </w:p>
    <w:p>
      <w:r>
        <w:t>S'agissant du caractère déterminant de ces développements, au plan de l'exigibilité d'une exécution du renvoi, le Tribunal retient ce qui suit : Le recourant a été condamné, en 1999, à la peine de huit ans de réclusion pour infraction grave à la LStup ; il a purgé sa peine et a été libéré conditionnellement en 2003. Or l'art. 83 al. 7 LEtr prévoit que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w:t>
      </w:r>
    </w:p>
    <w:p>
      <w:r>
        <w:rPr>
          <w:b/>
        </w:rPr>
        <w:t>E. 5.2</w:t>
      </w:r>
    </w:p>
    <w:p>
      <w:r>
        <w:t>En l'espèce, le recourant, du fait des infractions qu'il a commises, peut se voir appliquer l'art. 83 al. 7 let. a LEtr, dès lors qu'il a été condamné à une peine de longue durée au sens de cette disposition (cf. à ce sujet ATF 131 II 329 et 119 IV 309) ; les juridictions pénales qui se sont prononcées ont d'ailleurs insisté sur la gravité de son comportement. L'art. 83 al. 7 LEtr a remplacé l'art. 14a al. 6 de l'ancienne loi fédérale du 26 mars 1931 sur le séjour et l'établissement des étrangers (LSEE), lequel ne faisait cependant mention que l'atteinte portée par l'étranger à la sécurité et à l'ordre publics. Sur cette base, la CRA avait développé une jurisprudence aux termes de laquelle l'art. 14a al. 6 LSEE devait s'appliquer dans le respect du principe de la proportionnalité, l'ampleur du danger présenté par l'étranger et sa propension à poursuivre son activité délinquante constituant des critères décisifs (JICRA 2004 n° 39 consid. 5.3 p. 271 ; 1995 n° 10 consid. 5b p. 100-101). Le projet de LEtr présenté par le Conseil fédéral conservait en l'état cette disposition (cf. in Message concernant la loi sur les étrangers, FF 2002 p. 3573), qui se retrouve aujourd'hui, en des termes plus détaillés, à l'art. 83 al. 7 let. b LEtr.. Le Parlement a toutefois modifié le projet présenté, introduisant l'actuel art. 83 al. 7 let. a LEtr, qui fait de la condamnation à une peine privative de liberté de longue durée une cause absolue d'exclusion de l'examen du caractère raisonnablement exigible de l'exécution du renvoi (cf. BO-N 2005 1244-1245 ; BO-E 2005 976). En conséquence, s'agissant de A._______, il n'est pas décisif que la condamnation soit ancienne et ait été exécutée, ni que l'intéressé ait cessé de représenter un risque pour l'ordre public ; la seule existence d'un jugement le condamnant à huit ans de réclusion, confirmé sur recours, suffit à exclure cet examen.</w:t>
      </w:r>
    </w:p>
    <w:p>
      <w:r>
        <w:rPr>
          <w:b/>
        </w:rPr>
        <w:t>E. 6.1</w:t>
      </w:r>
    </w:p>
    <w:p>
      <w:r>
        <w:t>Quant au caractère licite d'un retour au Kosovo, au vu de l'état de santé du recourant, il y a lieu de rappeler ce qui suit : La protection conférée par l'art. 3 CEDH et l'art. 3 de la Convention du 10 décembre 1984 contre la torture et autres peines ou traitements cruels, inhumains ou dégradants (Conv. torture, RS 0.105), qui interdit d'exposer quiconque à un risque de torture, de peines ou de traitements inhumains, ne connaît pas d'exception. Il s'agit là d'une norme de droit international public impératif (jus cogens), dont le respect s'impose à tous les Etats, quand bien même la personne intéressée a violé la loi pénale ou porte atteinte à la sécurité nationale (cf. à ce sujet : sous la direction de ERIKA FELLER, VOLKER TÜRK, FRANCES NICHOLSON, La protection des réfugiés en droit international, Bruxelles 2008, p. 176-177, 183-188 et les références citées ; WALTER STÖCKLI et CATERINA NÄGELI/NIK SCHOCH in Ausländerrecht, Bâle 2009, p. 546-547 [11.67] et 1172 [22.215] ; OSAR, Handbuch zum Asyl- und Wegwei-sungsverfahren, Berne 2009, p. 213-214). Ce même principe se trouve rappelé à l'art. 25 al. 3 de la Constitution fédérale du 18 avril 1999 (Cst., RS 101).</w:t>
      </w:r>
    </w:p>
    <w:p>
      <w:r>
        <w:rPr>
          <w:b/>
        </w:rPr>
        <w:t>E. 6.2</w:t>
      </w:r>
    </w:p>
    <w:p>
      <w:r>
        <w:t>Faisant application de l'art. 3 CEDH, la Cour européenne des droits de l'homme s'est penchée en plusieurs occasions sur l'incidence que pouvait avoir la maladie sur la licéité d'un renvoi (pour l'essentiel dans le cas de personnes infectées par le virus HIV), et a élaboré sur ce point une jurisprudence claire. Dans son arrêt le plus récent "N. contre Royaume-Uni", du 27 mai 2008, publié sous n° 26565/05, et qui résume la jurisprudence de la Cour, celle-ci confirme que cette disposition peut faire obstacle au refoulement, lorsque la personne intéressée risque d'être l'objet de mauvais traitements de la part des autorités du pays de destination, ou de tiers contre lesquels ces autorités ne peuvent offrir une protection appropriée. S'agissant de personnes touchées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 De manière synthétique, la Cour admet donc qu'elle doit apprécier restrictivement l'incompatibilité du renvoi d'une personne malade avec l'art. 3 CEDH, les empêchements à ce renvoi n'étant en effet pas de la responsabilité des autorités de l'Etat de résidence.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w:t>
      </w:r>
    </w:p>
    <w:p>
      <w:r>
        <w:rPr>
          <w:b/>
        </w:rPr>
        <w:t>E. 6.3</w:t>
      </w:r>
    </w:p>
    <w:p>
      <w:r>
        <w:t>Dans le cas d'espèce, il est patent que l'état de A._______ est particulièrement grave. Il ne doit sa survie qu'à l'administration d'un traitement lourd : prise de nombreux antibiotiques (périodiquement renouvelés) par voie aérienne et intraveineuse en raison du risque permanent d'infections graves, assistance respiratoire à domicile plusieurs fois par semaine au moyen d'un appareil, oxygénothérapie constante ; à cela s'ajoute que l'intéressé doit impérativement avoir un accès rapide, en cas de dégradation de son état, aux services d'urgence d'un établissement spécialisé. En dépit de cette prise en charge que les médecins considèrent comme "maximale", le pronostic reste, selon le plus récent rapport médical, très réservé ; l'état du recourant ne peut que se dégrader avec le temps, l'insuffisance respiratoire étant appelée à s'aggraver, et toute perspective de guérison est exclue. Le rapport de novembre 2007 estimait d'ailleurs les chances de survie de l'intéressé à 30 mois (soit jusqu'au printemps 2010) à seulement 50%.</w:t>
      </w:r>
    </w:p>
    <w:p>
      <w:r>
        <w:rPr>
          <w:b/>
        </w:rPr>
        <w:t>E. 6.4</w:t>
      </w:r>
    </w:p>
    <w:p>
      <w:r>
        <w:t>La licéité d'un retour au Kosovo est donc fonction de l'aptitude du recourant à voyager, et de la possibilité pour lui de recevoir les soins nécessaires une fois rentré. S'agissant du premier point, le même rapport a spécifié que l'intéressé ne pouvait regagner son pays sans accompagnement, l'assistance respiratoire ne devant pas s'interrompre ; de plus, un transfert par avion apparaissait très difficile, en raisons des problèmes tenant à la pressurisation. Quant aux infrastructures médicales existant au Kosovo, il ressort des rapports de l'OSAR produits par le recourant qu'elles ne seraient pas en mesure de lui prodiguer le traitement nécessaire à sa survie ; si certains des antibiotiques indispensables pourraient à la rigueur lui être accessibles, mais à condition de les payer, les responsables des établissements interrogés précisent clairement que ni l'oxygéno-thérapie, ni la ventilation régulière à domicile ne peuvent avoir lieu. Rien n'indique donc que les deux cliniques citées par l'ODM soient en mesure de traiter le cas de A._______ (cf. également à ce sujet Usassy in Pristina, Pristina Physician List, juin 2007). La clinique universitaire de Prishtina est le seul hôpital en mesure d'administrer des soins complexes (cf. OSAR, Kosovo-Etat des soins de santé, juin 2007 ; OSCE, Prishtinë/Pristina, septembre 2009), mais le manque de moyens et d'équipement adéquat l'empêcherait de traiter correctement le recourant, ce d'autant plus que ce dernier souffre d'affections persistantes, qui nécessitent un suivi et des soins de longue durée. Des traitements de cette nature ne peuvent en pratique intervenir qu'à l'étranger (cf. également United Nations Kosovo Team, Initial Observations on Gaps in Health Care Services in Kosovo, janvier 2007 ; A. Pichler, Verbindungsbeamter des BMI Pristina, Kosovo, mars 2008).</w:t>
      </w:r>
    </w:p>
    <w:p>
      <w:r>
        <w:rPr>
          <w:b/>
        </w:rPr>
        <w:t>E. 6.5</w:t>
      </w:r>
    </w:p>
    <w:p>
      <w:r>
        <w:t>A cela s'ajoute que le recourant sera totalement dénué des ressources nécessaires à son traitement. En effet, il n'existe pas au Kosovo de système d'assurance-maladie général, mais uniquement un système d'assurance public couvrant une part de la population (mineurs, personnes âgées, victimes de guerre, handicapés physiques et certains malades chroniques) dont le manque d'efficacité est notoire ; les malades sont donc en pratique appelés à assumer les frais du traitement, y compris souvent ceux de l'acquisition des médicaments prescrits (cf. UK Home Office, Kosovo, octobre 2009). Dans ce contexte, la situation de A._______ en cas de retour sera extrêmement difficile, voire dramatique : son état de santé l'empêchera de trouver un quelconque emploi, et en réalité d'assurer même les tâches de la vie quotidienne. Par ailleurs, le recourant ne pourra compter sur aucun soutien familial : il a quitté le Kosovo en 1990 pour l'Albanie, avant de rejoindre la Suisse en 1997 ; sa famille a été dispersée par les affrontements de 1998-1999, et il n'a pu situer qu'un de ses frères, qui vit au Monténégro, et dont rien ne permet d'admettre qu'il pourrait l'assister. Quant à l'épouse, elle dispose en Suisse d'une autorisation de séjour ; elle-même en mauvaise santé, elle a la charge des deux jeunes enfants du couple (11 et 5 ans), et ne serait pas en mesure de fournir au recourant le soutien nécessaire ; ce soutien ne serait d'ailleurs pas que financier, puisqu'il consisterait en une assistance constante et permanente dans tous les actes de la vie courante, très difficile à assumer en l'absence d'un quelconque soutien extérieur.</w:t>
      </w:r>
    </w:p>
    <w:p>
      <w:r>
        <w:rPr>
          <w:b/>
        </w:rPr>
        <w:t>E. 6.6</w:t>
      </w:r>
    </w:p>
    <w:p>
      <w:r>
        <w:t>Dès lors, compte tenu de l'état de santé particulièrment grave de A._______ et de l'importance des traitements qui lui sont indispensables, le Tribunal en arrive à la conclusion que son retour forcé au Kosovo, à supposer même qu'il soit possible en pratique, l'exposerait à un risque vital extrêmement important, confinant à la certitude. Dès lors, l'exécution du renvoi est illicite.</w:t>
      </w:r>
    </w:p>
    <w:p>
      <w:r>
        <w:rPr>
          <w:b/>
        </w:rPr>
        <w:t>E. 7.1</w:t>
      </w:r>
    </w:p>
    <w:p>
      <w:r>
        <w:t>En conséquence, le recours doit être admis et la décision de l'ODR annulée en tant qu'elle ordonne l'exécution du renvoi. L'autorité de première instance est donc invitée à prononcer l'admission provisoire du recourant.</w:t>
      </w:r>
    </w:p>
    <w:p>
      <w:r>
        <w:rPr>
          <w:b/>
        </w:rPr>
        <w:t>E. 8.1</w:t>
      </w:r>
    </w:p>
    <w:p>
      <w:r>
        <w:t>Le recours étant admis, la requête d'assistance judiciaire partielle est sans objet.</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Le Tribunal fixe le montant de l'indemnité, sur la base de la note de frais jointe au recours, du 31 janvier 2008 (art. 14 al. 2 du règlement du 11 décembre 2006 concernant les frais, dépens et indemnités fixés par le Tribunal administratif fédéral [FITAF, RS 173.320.2]), et d'une estimation raisonnable des frais survenus depuis. Dite note fait état de 12 heures de travail à raison de Fr. 150.- par heure, soit au total Fr. 1800.- (plus 100.- de débours). Le Tribunal admet que les actes postérieurs du mandataire (dépôt de deux rapports médicaux, rédaction d'une réplique) ont occasionné 3 heures de travail, rémunérés pareillement. Compte tenu des débours, les dépens sont donc globalement fixés à Fr. 2350.-.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