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E-6633/2016 vom 18. Januar 2017</w:t>
      </w:r>
    </w:p>
    <w:p>
      <w:r>
        <w:t>Bundesverwaltungsgericht, 2017-01-18, DE</w:t>
      </w:r>
    </w:p>
    <w:p>
      <w:r>
        <w:rPr>
          <w:b/>
        </w:rPr>
        <w:t xml:space="preserve">Quelle: </w:t>
      </w:r>
      <w:r>
        <w:t>https://mcp.opencaselaw.ch/entscheid/bvger_E-6633_2016</w:t>
      </w:r>
    </w:p>
    <w:p>
      <w:r>
        <w:t>FR: TAF E-6633/2016 du 18 janvier 2017</w:t>
      </w:r>
    </w:p>
    <w:p>
      <w:r>
        <w:t>IT: TAF E-6633/2016 del 18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dass die Vorbringen des Beschwerdeführers unglaubhaft seien. Hinsichtlich des Abhaltens der Koran-Lesung und der Teilnahme am Waffentraining habe er widersprüchliche Angaben gemacht. Seine Ausführungen zum angeblichen Aufenthalt im Trainingslager der Taliban seien trotz mehrmaligen Nachfragens unsubstantiiert und knapp geblieben. Die eingereichten Beweismittel würden an dieser Beurteilung nichts ändern.</w:t>
      </w:r>
    </w:p>
    <w:p>
      <w:r>
        <w:rPr>
          <w:b/>
        </w:rPr>
        <w:t>E. 4.2</w:t>
      </w:r>
    </w:p>
    <w:p>
      <w:r>
        <w:t>Der Beschwerdeführer macht geltend, aus seiner Aussage in der Befragung, "man" sei an Waffen ausgebildet worden, sei nicht abzuleiten, dass er von Anfang an Waffentraining erhalten habe; die Neuankommenden hätten anfangs kein Waffentraining erhalten. Er habe keine weitergehenden Angaben zum Aufenthalt im Trainingslager machen können, weil er während des Aufenthalts grosse Angst gehabt und daher einfach mitgemacht habe. Zudem habe er die militärischen Strukturen nicht gekannt.</w:t>
      </w:r>
    </w:p>
    <w:p>
      <w:r>
        <w:rPr>
          <w:b/>
        </w:rPr>
        <w:t>E. 4.3</w:t>
      </w:r>
    </w:p>
    <w:p>
      <w:r>
        <w:t>Der Vorinstanz ist zuzustimmen, dass die Angaben des Beschwerdeführers widersprüchlich sind. An der Befragung gab er an, er habe im Dorf das Lesen des Korans gelernt. Eines Tages habe der Mullah ihn und andere Schüler zur Lesung eines Chatem mitgenommen. An der Anhörung sagte er, als die Schülerzahl grösser geworden sei, sei ein Qari aus einem anderen Dorf zum Unterrichten gekommen. Dieser habe sie zum Chatem mitgenommen. Anlässlich der Befragung sagte er, nachdem der Chatem vollzogen worden sei, seien sie dort festgehalten worden und es habe sich herausgestellt, dass es ein Trainingslager gewesen sei. An der Anhörung gab er an, sie seien zu einem Ort gebracht worden, wo sie übernachtet hätten. Am anderen Tag seien sie in die Berge gebracht worden. Es sei kein Chatem durchgeführt worden. Bezüglich Waffentraining sagte der Beschwerdeführer in der Befragung, man sei an den Waffen ausgebildet worden, an der Anhörung verneinte er hingegen ein Waffentraining. Seine Erklärung für diesen Widerspruch, das "man" in der Befragung habe sich nicht auf ihn, sondern nur auf die Älteren bezogen, ist unbehelflich. Im Befragungsprotokoll wurde für einen ganzen Abschnitt die "man"-Form anstelle der "ich"-Form gewählt. So steht: "Man musste früh aufstehen, beten usw. Dann wurde Drill ausgeübt und man wurde an den Waffen ausgebildet." Da anzunehmen ist, dass auch der Beschwerdeführer früh aufstehen und beten musste, ist davon auszugehen, dass das "man" keine inhaltliche Bedeutung hat, sondern lediglich eine Form der Übersetzung war, welche auch den Beschwerdeführer umfasste. Der Beschwerdeführer wurde während der Anhörung mehrmals gebeten, den Aufenthalt und besondere Ereignisse im Trainingslager zu schildern. Dennoch wiederholte er nur, sie hätten jeden Tag Übungen gemacht; wenn man sich geweigert habe, sei man geschlagen worden. Bei einem 20 Tage dauernden Aufenthalt wäre indes zu erwarten, dass die Angaben - beispielsweise über die Art der Übungen und den Tagesablauf - trotz seiner damaligen Angst ausführlicher ausfallen würden. Es ist der Vorinstanz beizupflichten, dass die oberflächlichen und spärlichen Aussagen den Eindruck vermitteln, der Beschwerdeführer habe das Ganze nicht selbst erlebt. Hinzu kommt, dass er angab, sie seien von seinem Dorf bis zum Ort, wo der Chatem hätte stattfinden sollen, ziemlich weit mit einem Fahrzeug gefahren. Anschliessend seien sie in die Berge geführt worden. Nach 20 Tagen sei er gegen halb vier Uhr morgens, als es noch dunkel gewesen sei, zu Fuss geflüchtet. Gegen Mittag sei er zu Hause angekommen. Auf der Flucht sei er niemandem begegnet. Es ist schwer nachvollziehbar, dass der Beschwerdeführer alleine, ohne jegliche Hilfe, den Nachhauseweg ohne Probleme gefunden haben soll, zumal anfangs noch Dunkelheit herrschte und es sich gemäss seinen Angaben um eine längere Distanz zwischen dem Ort des Trainingslagers und seinem Wohnort gehandelt haben dürfte. In Würdigung dieser Umstände erscheinen die Angaben des Beschwerdeführers als unglaubhaft. Daran vermögen auch die eingereichten Schreiben nichts zu ändern. Derartige Schreiben sind in Afghanistan leicht käuflich erwerbbar. Zudem betonte der Beschwerdeführer mehrmals, dass seine Mutter und sein Onkel wegen dieses Vorfalls nicht zur Polizei oder zu anderen Behörden gegangen seien. Es erscheint deshalb nicht plausibel, dass das Bezirksamt Kenntnis von seinem Aufenthalt im Trainingslager erhalten haben soll beziehungsweise sich damit begnügt hätte, ein einziges Schreiben (angeblich im Februar 2015) auszustellen, ohne weiter tätig zu werden. Dem Beschwerdeführer ist es somit nicht gelungen, eine asylrelevante Verfolgung nach Art. 3 AsylG glaubhaft zu machen.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23. September 2016 die vorläufige Aufnahme des Beschwerdeführers in der Schweiz angeordnet. Demnach erübrigen sich praxisgemäss Ausführungen zur Zulässigkeit, Zumutbarkeit und Möglichkeit des Wegweisungsvollzugs.</w:t>
      </w:r>
    </w:p>
    <w:p>
      <w:r>
        <w:rPr>
          <w:b/>
        </w:rPr>
        <w:t>E. 6</w:t>
      </w:r>
    </w:p>
    <w:p>
      <w:r>
        <w:t>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als aussichtslos bezeichnet werden können und die Bedürftigkeit des Beschwerdeführers ausgewiesen ist, ist dem Gesuch um Erlass der Verfahrenskosten stattzugeben.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