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E-6631/2018 vom 13. Dezember 2018</w:t>
      </w:r>
    </w:p>
    <w:p>
      <w:r>
        <w:t>Bundesverwaltungsgericht, 2018-12-13, DE</w:t>
      </w:r>
    </w:p>
    <w:p>
      <w:r>
        <w:rPr>
          <w:b/>
        </w:rPr>
        <w:t xml:space="preserve">Quelle: </w:t>
      </w:r>
      <w:r>
        <w:t>https://mcp.opencaselaw.ch/entscheid/bvger_E-6631_2018</w:t>
      </w:r>
    </w:p>
    <w:p>
      <w:r>
        <w:t>FR: TAF E-6631/2018 du 13 décembre 2018</w:t>
      </w:r>
    </w:p>
    <w:p>
      <w:r>
        <w:t>IT: TAF E-6631/2018 del 13 dicembre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2 AsylG; Art. 105 AsylG i.V.m. Art. 37 VGG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Gewährung der aufschiebenden Wirkung ist mit vorliegendem Direktentscheid gegenstandslos geworden.</w:t>
      </w:r>
    </w:p>
    <w:p>
      <w:r>
        <w:rPr>
          <w:b/>
        </w:rPr>
        <w:t>E. 5.1</w:t>
      </w:r>
    </w:p>
    <w:p>
      <w:r>
        <w:t>Das Wiedererwägungsverfahren ist im Asylrecht spezialgesetzlich geregelt (vgl. Art. 111b ff. AsylG). In seiner praktisch relevantesten Form bezweckt das Wiedererwägungsgesuch die Änderung einer ursprünglich fehlerfreien Verfügung an eine nachträglich eingetretene erhebliche Veränderung der Sachlage in Bezug auf das Bestehen von Wegweisungsvollzugshindernissen (vgl. BVGE 2014/39 E. 4.5 m.w.H.).</w:t>
      </w:r>
    </w:p>
    <w:p>
      <w:r>
        <w:rPr>
          <w:b/>
        </w:rPr>
        <w:t>E. 5.2</w:t>
      </w:r>
    </w:p>
    <w:p>
      <w:r>
        <w:t>Der Beschwerdeführer ersuchte das SEM mit Eingabe vom 1. Oktober 2018 um eine Änderung der Verfügung vom 20. Februar 2015 aufgrund einer nachträglich erheblichen Veränderung der Sachlage, namentlich aufgrund seiner nunmehr über vierjährigen Beziehung mit seiner Lebenspartnerin B._______ und der Geburt des gemeinsamen und von ihm anerkannten Kindes C._______ (vgl. dazu vorstehender Bst. C der Prozessgeschichte). Das SEM hat die Eingabe des Beschwerdeführers richtigerweise als Wiedererwägungsgesuch im Sinne von Art. 111b AsylG entgegengenommen.</w:t>
      </w:r>
    </w:p>
    <w:p>
      <w:r>
        <w:rPr>
          <w:b/>
        </w:rPr>
        <w:t>E. 6.1</w:t>
      </w:r>
    </w:p>
    <w:p>
      <w:r>
        <w:t>In seiner Rechtsmitteleingabe macht der Beschwerdeführer vorab geltend, das SEM habe den rechtserheblichen Sachverhalt falsch festgestellt (Art. 12 VwVG), nachdem seine Lebenspartnerin und das gemeinsame Kind in der Schweiz - entgegen den Feststellungen des SEM in der angefochtenen Verfügung - nicht nur vorläufig aufgenommen, sondern anerkannte Flüchtlinge seien. Überdies habe das SEM das rechtliche Gehör (Art. 29 VwVG) seiner Lebenspartnerin verletzt, nachdem sie im Rahmen des Wiedererwägungsverfahrens zur Frage der Zumutbarkeit des Wegweisungsvollzugs nach Äthiopien nicht angehört worden sei. Hierzu verweist der Beschwerdeführer auf die Erwägung 8.1 des Urteils D-528/2014 des Bundesverwaltungsgerichts vom 10. Februar 2014 (BVGE 2014/13) und führt dazu aus, der von einer Wegweisung mitbetroffene Partner respektive die Partnerin, welche(r) über einen Aufenthaltsstatus in der Schweiz verfüge, müsse bei der Beurteilung, ob es der Familie zumutbar sei, sich gemeinsam im Herkunftsland des nichtgefährdeten Ehegatten niederzulassen, zwingend angehört werden.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6.2</w:t>
      </w:r>
    </w:p>
    <w:p>
      <w:r>
        <w:t>Wie in der Beschwerde zu Recht gerügt wird, hat das SEM den Sachverhalt in Bezug auf den Aufenthaltsstatus seiner Lebenspartnerin B._______ nicht richtig festgestellt, hält es in der angefochtenen Verfügung doch fest, dass diese in der Schweiz vorläufig aufgenommen sei (vgl. angefochtene Verfügung, Ziff. I, S. 2, Abschnitt 2) und lässt sich dem Zentralen Migrationsinformationssystem (ZEMIS) demgegenüber entnehmen, dass B._______ und ihr Kind C._______ in der Schweiz als Flüchtlinge anerkannt sind und ihnen Asyl gewährt wurde. Dies wird auch durch die vom Beschwerdeführer eingereichten Kopien der Aufenthaltsbewilligungen (Status B) der Partnerin und des gemeinsamen Kindes (SEM-act. B1/22, Beilagen Nr. 4 und Nr. 5) bestätigt. Damit verfügen seine Partnerin und das gemeinsame Kind über ein gefestigtes Aufenthaltsrecht in der Schweiz.</w:t>
      </w:r>
    </w:p>
    <w:p>
      <w:r>
        <w:rPr>
          <w:b/>
        </w:rPr>
        <w:t>E. 6.3</w:t>
      </w:r>
    </w:p>
    <w:p>
      <w:r>
        <w:t>Das Bundesverwaltungsgericht hat im vom Beschwerdeführer zitierten Urteil D-528/2014 vom 10. Februar 2014 (BVGE 2014/13) sodann die bisherige Rechtsprechung, wonach der Vollzug der Wegweisung im Fall von gemischtnationalen Paaren grundsätzlich zumutbar sein kann, falls für die Ehegatten - diesen sind Konkubinatspartner gleichgestellt (BVGE 2008/47 E. 4.1 S. 677 ff., m.w.H.) - die Möglichkeit besteht, sich gemeinsam im Heimatstaat des nichtgefährdeten Ehegatten niederzulassen (EMARK 1998/31 E. 8c/ee). Der Grundsatz der Familieneinheit (Art. 44 AsylG) muss dabei beachtet werden. Das Gericht hat darüber hinaus jedoch insoweit eine Präzisierung der Rechtsprechung vorgenommen als es weiter festgestellt hat, dass in einem solchen Fall der Ehegatte respektive die Ehegattin, welche(r) vom Verfahren nicht direkt betroffen ist, in die betreffenden Sachverhaltsermittlungen miteinzubeziehen ist, insbesondere auch um dessen beziehungsweise deren Anspruch auf rechtliches Gehör zu wahren (vgl. dazu E. 8.1 des betreffenden Urteils). Im vorliegenden Fall wurde die Lebenspartnerin des Beschwerdeführers vom SEM nicht vorgängig angehört. Damit wurde ihr Anspruch auf rechtliches Gehör verletzt.</w:t>
      </w:r>
    </w:p>
    <w:p>
      <w:r>
        <w:rPr>
          <w:b/>
        </w:rPr>
        <w:t>E. 6.4</w:t>
      </w:r>
    </w:p>
    <w:p>
      <w:r>
        <w:t>Es kann nach dem Gesagten festgestellt werden, dass der rechtserhebliche Sachverhalt ungenügend festgestellt und das rechtliche Gehör der von der angefochtenen Verfügung des SEM mitbetroffenen Lebenspartnerin des Beschwerdeführers verletzt wurde.</w:t>
      </w:r>
    </w:p>
    <w:p>
      <w:r>
        <w:rPr>
          <w:b/>
        </w:rPr>
        <w:t>E. 6.5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Verwaltungsverfahren und Verwaltungsrechtspflege des Bundes, a.a.O., Rz. 1155). Die in diesen Fällen fehlende Entscheidungsreife kann dann durch die Beschwerdeinstanz selbst hergestellt werden, wenn dies im Einzelfall aus prozessökonomischen Gründen angebracht erscheint (vgl. BVGE 2012/21 E. 5 S. 415; Gygi, Bundesverwaltungsrechtspflege, 2. Aufl., Bern 1983, S. 233).</w:t>
      </w:r>
    </w:p>
    <w:p>
      <w:r>
        <w:rPr>
          <w:b/>
        </w:rPr>
        <w:t>E. 6.6</w:t>
      </w:r>
    </w:p>
    <w:p>
      <w:r>
        <w:t>Im vorliegenden Fall ist es angezeigt, die Sache an das SEM als erste Instanz zurückzuweisen, damit dieses die erforderlichen Abklärungen vornimmt und deren Ergebnis im Rahmen eines neuen begründeten Entscheids festhält, da sich die Entscheidungsreife nicht mit geringem Aufwand herstellen lässt. Das SEM hat dabei die persönlichen Verhältnisse der Lebenspartnerin des Beschwerdeführers und im Übrigen auch diejenigen des in der Schweiz geborenen Kindes unter objektiven Gesichtspunkten zu beurteilen. Ebenfalls hat es dem Umstand, dass die Lebenspartnerin des Beschwerdeführers und das gemeinsame Kind über ein gefestigtes Aufenthaltsrecht in der Schweiz verfügen, bei der Abwägung, ob sich die Familie gemeinsam im Heimatland des nicht gefährdeten Familienmitgliedes niederlassen könnte, Rechnung zu tragen.</w:t>
      </w:r>
    </w:p>
    <w:p>
      <w:r>
        <w:rPr>
          <w:b/>
        </w:rPr>
        <w:t>E. 7</w:t>
      </w:r>
    </w:p>
    <w:p>
      <w:r>
        <w:t>Die Beschwerde ist demnach gutzuheissen. Die angefochtene Verfügung vom 25. Oktober 2018 wird aufgehoben und die Sache im Sinne der Erwägungen zur Neubeurteilung an das SEM zurückgewiesen.</w:t>
      </w:r>
    </w:p>
    <w:p>
      <w:r>
        <w:rPr>
          <w:b/>
        </w:rPr>
        <w:t>E. 8</w:t>
      </w:r>
    </w:p>
    <w:p>
      <w:r>
        <w:t>Das SEM ist ferner anzuweisen, die gemäss der Dispositivziffer 3 der angefochtenen Verfügung erhobene Gebühr von Fr. 600.- an den Beschwerdeführer zurückzuerstatten, sofern sie bezahlt worden ist. Ein entsprechendes Gesuch wurde im vorinstanzlichen Verfahren gestellt (vgl. Gesuch vom 1. Oktober 2018 Ziff. 4). Der Beschwerdeführer ist bedürftig und das Gesuch um Wiedererwägung scheint nicht von vornherein aussichtslos.</w:t>
      </w:r>
    </w:p>
    <w:p>
      <w:r>
        <w:rPr>
          <w:b/>
        </w:rPr>
        <w:t>E. 9</w:t>
      </w:r>
    </w:p>
    <w:p>
      <w:r>
        <w:t>Bei diesem Ausgang des Verfahrens sind keine Kosten zu erheben (Art. 63 Abs. 1 und 2 VwVG).</w:t>
      </w:r>
    </w:p>
    <w:p>
      <w:r>
        <w:rPr>
          <w:b/>
        </w:rPr>
        <w:t>E. 10.1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10.2</w:t>
      </w:r>
    </w:p>
    <w:p>
      <w:r>
        <w:t>Der in der Kostennote ausgewiesene Aufwand von sieben Stunden und der zur Verrechnung gebrachte Stundenansatz von Fr. 220.- sind als angemessen zu erachten, womit sich das Honorar auf Fr. 1540.- beläuft. Zu diesem sind ein Mehrwertsteuerbetrag von Fr. 118.60 (7,7% von Fr. 1540.-) und die ausgewiesenen Auslagen von Fr. 12.- hinzuzurechnen. Die von der Vorinstanz auszurichtende Parteientschädigung wird demnach auf insgesamt Fr. 1671.- (inkl. Auslagen, MWSt; aufgerundet)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