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E-6629/2014 vom 12. März 2015</w:t>
      </w:r>
    </w:p>
    <w:p>
      <w:r>
        <w:t>Bundesverwaltungsgericht, 2015-03-12, DE</w:t>
      </w:r>
    </w:p>
    <w:p>
      <w:r>
        <w:rPr>
          <w:b/>
        </w:rPr>
        <w:t xml:space="preserve">Quelle: </w:t>
      </w:r>
      <w:r>
        <w:t>https://mcp.opencaselaw.ch/entscheid/bvger_E-6629_2014</w:t>
      </w:r>
    </w:p>
    <w:p>
      <w:r>
        <w:t>FR: TAF E-6629/2014 du 12 mars 2015</w:t>
      </w:r>
    </w:p>
    <w:p>
      <w:r>
        <w:t>IT: TAF E-6629/2014 del 12 marzo 2015</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bzw. Änderung; sie sind daher zur Einreichung der Beschwerde legitimiert (Art. 105 und Art. 108 Abs. 2 AsylG; Art. 48 Abs. 1 sowie Art. 52 Abs. 1 VwVG). Auf die Beschwerde ist einzutreten.</w:t>
      </w:r>
    </w:p>
    <w:p>
      <w:r>
        <w:rPr>
          <w:b/>
        </w:rPr>
        <w:t>E. 2.1</w:t>
      </w:r>
    </w:p>
    <w:p>
      <w:r>
        <w:t>Die Kognition des Bundesverwaltungsgerichts im Asylbereich und die zulässigen Rügen bestimmen sich nach Art. 106 Abs. 1 AsylG.</w:t>
      </w:r>
    </w:p>
    <w:p>
      <w:r>
        <w:rPr>
          <w:b/>
        </w:rPr>
        <w:t>E. 2.2</w:t>
      </w:r>
    </w:p>
    <w:p>
      <w:r>
        <w:t>Die Vernehmlassung des BFM vom 28. November 2014 wurde den Beschwerdeführenden bisher nicht zur Kenntnis gebracht. Auf eine vorgängige Anhörung in diesem Zusammenhang kann gestützt auf Art. 30 Abs. 2 Bst. c VwVG angesichts des vorliegenden Verfahrensausgangs denn auch verzichtet werden. Die Vernehmlassung wird den Beschwerdeführenden zusammen mit dem Urteil zur Kenntnisnahme zugestellt.</w:t>
      </w:r>
    </w:p>
    <w:p>
      <w:r>
        <w:rPr>
          <w:b/>
        </w:rPr>
        <w:t>E. 3.1</w:t>
      </w:r>
    </w:p>
    <w:p>
      <w:r>
        <w:t>Der Rechtsvertreter der Beschwerdeführenden beantragte in seiner Beschwerdeeingabe, die angefochtene Verfügung sei im Lichte der jüngsten Rechtsprechung des EGMR aufzuheben und die Sache an die Vorinstanz für weitere Abklärungen zurückzuweisen. Diese Rüge, der rechtserhebliche Sachverhalt sei ungenügend festgestellt worden, ist vorab zu prüfen, da ein Verfahrensmangel allenfalls geeignet wäre, eine Kassation des vorinstanzlichen Entscheides zu bewirken (vgl. Kölz/Hä-ner/Bertschi, Verwaltungsverfahren und Verwaltungsrechtspflege des Bundes, 3. Aufl. 2013, Rz. 1156 m.w.H.).</w:t>
      </w:r>
    </w:p>
    <w:p>
      <w:r>
        <w:rPr>
          <w:b/>
        </w:rPr>
        <w:t>E. 3.2</w:t>
      </w:r>
    </w:p>
    <w:p>
      <w:r>
        <w:t>Der Untersuchungsgrundsatz gehört zu den allgemeinen Grundsätzen des Verwaltungs- bzw. Asylverfahrens (Art. 12 VwVG).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Unrichtig ist die Sachverhaltsfeststellung, wenn der Verfügung ein falscher und aktenwidriger Sachverhalt zugrunde gelegt wird. Ferner ist dies der Fall, wenn die Vorinstanz nicht alle entscheidwesentlichen Gesichtspunkte des Sachverhalts prüfte, etwa weil sie die Rechtserheblichkeit einer Tatsache zu Unrecht verneinte. Unvollständig ist die Sachverhaltsfeststellung demgegenüber, wenn nicht alle für den Entscheid rechtsrelevanten Sachumstände berücksichtigt wurden (vgl. Kölz/Häner/Bertschi, a.a.O., Rz. 1043). Der Untersuchungsgrundsatz gilt indes nicht uneingeschränkt, zumal er sein Korrelat in der Mitwirkungspflicht des Asylsuchenden findet (Art. 13 VwVG und Art. 8 AsylG).</w:t>
      </w:r>
    </w:p>
    <w:p>
      <w:r>
        <w:rPr>
          <w:b/>
        </w:rPr>
        <w:t>E. 3.3</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(vgl. Kölz/Häner/Bertschi, a.a.O., Rz. 1155). Die in diesen Fällen fehlende Entscheidungsreife kann grundsätzlich zwar auch durch die Beschwerdeinstanz selbst hergestellt werden, wenn dies im Einzelfall aus prozessökonomischen Gründen angebracht erscheint; sie muss dies aber nicht (vgl. BVGE 2012/21 E. 5 m.w.H.).</w:t>
      </w:r>
    </w:p>
    <w:p>
      <w:r>
        <w:rPr>
          <w:b/>
        </w:rPr>
        <w:t>E. 4.1</w:t>
      </w:r>
    </w:p>
    <w:p>
      <w:r>
        <w:t>Der Europäische Gerichtshof für Menschenrechte (EGMR) weist in seinem Urteil Tarakhel zunächst darauf hin, dass die Schweiz gemäss der Souveränitätsklausel der Dublin-III-VO berechtigt sei, auf einen Asylantrag einzutreten und das Asylverfahren durchzuführen. Dementsprechend könne nicht behauptet werden, die Schweiz sei aufgrund einer internationalen Vereinbarung zu einer Rückführung in einen anderen Mitgliedstaat verpflichtet. Angesichts dieser Tatsache habe die Schweiz die Verantwortung aus Art. 3 der Konvention vom 4. November 1950 zum Schutze der Menschenrechte und Grundfreiheiten (EMRK, SR 0.101) zu tragen (vgl. Urteil des EGMR Tarakhel gegen Schweiz, a.a.O., § 88 ff.). Hinsichtlich der Lebensbedingungen von asylsuchenden Personen in Italien stellte der Gerichtshof keine systemischen Mängel fest. Die heutige Lage Italiens sei nicht mit derjenigen von Griechenland (vgl. Urteil des EGMR M.S.S. gegen Belgien und Griechenland vom 21. Januar 2011, Grosse Kammer, Nr. 30696/09) vergleichbar. Die Struktur und der allgemeine Zustand der Aufnahmebedingungen in Italien würden noch kein grundsätzliches Hindernis für Asylsuchende darstellen, auch wenn Zweifel hinsichtlich der Kapazitäten nicht ausgeschlossen werden könnten (vgl. Urteil des EGMR Tarakhel gegen Schweiz, a.a.O., § 114 f. und 120). Des Weiteren ruft der EGMR in Erinnerung, dass die Anwendbarkeit von Art. 3 EMRK ein gewisses Mindestmass an Schwere voraussetze, welche jedoch relativ sei und von den Umständen des Einzelfalles abhänge. Als besonders benachteiligte und verletzliche Gruppe ("catégorie de la population particulièrement défavorisée et vulnérable") würden asylsuchende Personen einen speziellen Schutz benötigen, welcher umso wichtiger werde, wenn es sich dabei - angesichts ihrer speziellen Bedürfnisse und ihrer Verletzlichkeit ("eu égard à leurs besoins particuliers et à leur extrême vulnérabilité") - um Kinder handle (vgl. Urteil des EGMR Tarakhel gegen Schweiz, a.a.O., § 118 f.). Angesichts der erwähnten ernsthaften Zweifel an den aktuellen Kapazitäten der italienischen Aufnahmestrukturen bestehe eine gewisse Wahrscheinlichkeit, dass Dublin-Rückkehrer in Italien keine oder nur eine überfüllte Unterkunft vorfinden würden, wo keinerlei Privatsphäre, wenn nicht gar gesundheitsgefährdende und gewaltgeprägte Bedingungen herrschten (vgl. Urteil des EGMR Tarakhel gegen Schweiz, a.a.O., § 115 und 120). Daraus folge, dass es eine Verletzung von Art. 3 EMRK darstellen würde, wenn die Schweizer Behörden eine Überstellung von Familien mit Kindern nach Italien vornähme, ohne zuvor von den italienischen Behörden eine individuelle Garantie erhalten zu haben, dass für eine kindgerechte Unterbringung gesorgt sei und die Einheit der Familie gewahrt werde (vgl. Urteil des EGMR Tarakhel gegen Schweiz, a.a.O., § 122).</w:t>
      </w:r>
    </w:p>
    <w:p>
      <w:r>
        <w:rPr>
          <w:b/>
        </w:rPr>
        <w:t>E. 4.2</w:t>
      </w:r>
    </w:p>
    <w:p>
      <w:r>
        <w:t>Das BFM stellte sich in seiner Vernehmlassung vom 28. November 2014 auf den Standpunkt, die fraglichen individuellen Garantien seien erst im Zeitpunkt des Vollzugs einzuholen. Es handle sich dabei um blosse Überstellungsmodalitäten und nicht um Voraussetzungen, welche bereits vor Erlass des Nichteintretensentscheides und der Anordnung der Überstellung vorliegen müssten, zumal auch praktische Überlegungen für ein solches Vorgehen sprechen würden, könne doch zwischen einem rechtskräftigen Erlass der Überstellungsanordnung und dem effektiven Moment der Überstellung geraume Zeit verstreichen.</w:t>
      </w:r>
    </w:p>
    <w:p>
      <w:r>
        <w:rPr>
          <w:b/>
        </w:rPr>
        <w:t>E. 4.3</w:t>
      </w:r>
    </w:p>
    <w:p>
      <w:r>
        <w:t>Das Bundesverwaltungsgericht teilt diese Ansicht nicht. Das Vorliegen der von den italienischen Behörden einzuholenden Garantien einer kindgerechten und die Einheit der Familie respektierenden Unterbringung ist nicht eine blosse Überstellungsmodalität, sondern stellt gemäss dem Urteil Tarakhel des EGMR eine materielle Voraussetzung der völkerrrechtlichen Zulässigkeit einer Überstellung nach Italien dar. Als solche muss sie einer gerichtlichen Überprüfung offenstehen (vgl. dazu BVGE 2010/45, welcher sich zu Überstellunghindernissen aus internationalem Recht äussert). Dass das Bundesverwaltungsgericht die Zulässigkeit einer Überstellung in den Mitgliedstaat im Lichte von Art. 3 EMRK lediglich im Sinne einer Prüfung "unter Bedingungen" (nämlich unter der Bedingung künftiger Modalitäten des Vollzugs) kontrollieren könnte, entspricht nicht der Konzeption des Gesetzgebers. Vielmehr stellt in Dublin-Verfahren die Zulässigkeit einer Überstellung (generell das Fehlen von Überstellungshindernissen) eine Voraussetzung dafür dar, dass das SEM einen Nichteintretensentscheid gestützt auf Art. 31a Abs. 1 Bst. b AsylG fällen kann (vgl. BVGE 2010/45 E. 10). Da eine gerichtliche Überprüfung von Vollzugsmodalitäten nach Vorliegen eines rechtskräftigen Überstellungsentscheides nicht mehr vorgesehen ist, muss die Überprüfungsmöglichkeit eines solchen Entscheides für eine Familie, welche im Rahmen der Dublin-III-VO nach Italien überstellt werden soll, im ordentlichen Beschwerdeverfahren bestehen, und es müssen demnach bezüglich Italien die im Sinne des erwähnten Urteils des EGMR erforderlichen konkreten individuellen Garantien im ordentlichen Verfahren - und nicht erst im Vollzugsstadium - vorliegen. Blosse generelle Absichtserklärungen seitens Italien können nicht ausreichen, um eine allfällige Verletzung von Art. 3 EMRK ausschliessen zu können. Entsprechend den Voraussetzungen, wie sie im Urteil Tarakhel des EGMR genannt sind, muss im Zeitpunkt der Verfügung des SEM eine konkrete und individuelle Zusicherung - insbesondere unter Namens- und Altersangaben der betroffenen Personen - vorliegen, mit welcher namentlich garantiert wird, dass eine dem Alter der Kinder (oder des Kindes) entsprechende Unterkunft bei der Ankunft der Familie in Italien zur Verfügung steht und dass die Familie bei der Unterbringung nicht getrennt wird (vgl. Urteil des EGMR Tarakhel gegen Schweiz, a.a.O., § 120).</w:t>
      </w:r>
    </w:p>
    <w:p>
      <w:r>
        <w:rPr>
          <w:b/>
        </w:rPr>
        <w:t>E. 4.4</w:t>
      </w:r>
    </w:p>
    <w:p>
      <w:r>
        <w:t>Im vorliegenden Verfahren betreffend die Beschwerdeführerin und ihre vier minderjährigen Kinder finden sich entsprechende individuelle und konkrete Garantien nicht in den Akten und sind auch im Rahmen des Vernehmlassungsverfahrens nicht eingeholt und dem Bundesverwaltungsgericht vorgelegt worden. Der entscheidrelevante Sachverhalt im Hinblick auf die Frage, ob eine Überstellung nach Italien völkerrechtskonform im Sinne von Art. 3 EMRK sei, ist demnach nicht rechtsgenüglich erstellt. Es erweist sich somit als angezeigt, die Sache zwecks Vornahme der erforderlichen Abklärungen an die Vorinstanz zurückzuweisen.</w:t>
      </w:r>
    </w:p>
    <w:p>
      <w:r>
        <w:rPr>
          <w:b/>
        </w:rPr>
        <w:t>E. 4.5</w:t>
      </w:r>
    </w:p>
    <w:p>
      <w:r>
        <w:t>Demnach ist die Beschwerde gutzuheissen. Die angefochtene Verfügung vom 29. Oktober 2014 ist aufzuheben und die Sache in Anwendung von Art. 61 Abs. 1 VwVG zur vollständigen und richtigen Sachverhaltsermittlung und Neubeurteilung im Sinne der Erwägungen an die Vorinstanz zurückzuweisen. Auf die weiteren Vorbringen in der Rechtsmitteleingabe ist aufgrund der vorliegenden Kassation zum heutigen Zeitpunkt nicht näher einzugehen.</w:t>
      </w:r>
    </w:p>
    <w:p>
      <w:r>
        <w:rPr>
          <w:b/>
        </w:rPr>
        <w:t>E. 5.1</w:t>
      </w:r>
    </w:p>
    <w:p>
      <w:r>
        <w:t>Bei diesem Ausgang des Verfahrens sind keine Kosten zu erheben (Art. 63 Abs. 1 und 2 VwVG).</w:t>
      </w:r>
    </w:p>
    <w:p>
      <w:r>
        <w:rPr>
          <w:b/>
        </w:rPr>
        <w:t>E. 5.2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Das Bundesverwaltungsgericht erachtet den in der Kostennote vom 14. November 2014 ausgewiesenen zeitlichen Aufwand für das Beschwerdeverfahren als angemessen; der veranschlagte Stundenansatz von Fr. 200.- ist reglementskonform (vgl. Art. 10 Abs. 2 VGKE). Gestützt auf die in Betracht zu ziehenden Bemessungsfaktoren (Art. 9-13 VGKE) ist den Beschwerdeführenden zulasten der Vorinstanz eine Parteientschädigung von insgesamt Fr. 1'145.- (inkl. Auslagen, ohne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