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E-6628/2015 vom 28. Juni 2017</w:t>
      </w:r>
    </w:p>
    <w:p>
      <w:r>
        <w:t>Bundesverwaltungsgericht, 2017-06-28, DE</w:t>
      </w:r>
    </w:p>
    <w:p>
      <w:r>
        <w:rPr>
          <w:b/>
        </w:rPr>
        <w:t xml:space="preserve">Quelle: </w:t>
      </w:r>
      <w:r>
        <w:t>https://mcp.opencaselaw.ch/entscheid/bvger_E-6628_2015</w:t>
      </w:r>
    </w:p>
    <w:p>
      <w:r>
        <w:t>FR: TAF E-6628/2015 du 28 juin 2017</w:t>
      </w:r>
    </w:p>
    <w:p>
      <w:r>
        <w:t>IT: TAF E-6628/2015 del 28 giugno 2017</w:t>
      </w:r>
    </w:p>
    <w:p>
      <w:pPr>
        <w:pStyle w:val="Heading2"/>
      </w:pPr>
      <w:r>
        <w:t>Regeste</w:t>
      </w:r>
    </w:p>
    <w:p>
      <w:r>
        <w:t>Nichteintreten auf Asylgesuch und Wegweisung (Dublin-Verfahren)</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(vgl. Art. 83 Bst d Ziff. 1 BGG; Art. 105 AsylG [SR 142.31]). Der Beschwerdeführer ist als Verfügungsadressat zur Beschwerdeführung legitimiert (Art. 48 VwVG). Auf die frist- und formgerecht eingereichte Beschwerde ist einzutreten (Art. 108 Abs. 2 AsylG und Art. 52 Abs. 1 VwVG).</w:t>
      </w:r>
    </w:p>
    <w:p>
      <w:r>
        <w:rPr>
          <w:b/>
        </w:rPr>
        <w:t>E. 2.1</w:t>
      </w:r>
    </w:p>
    <w:p>
      <w:r>
        <w:t>Bei Beschwerden gegen Nichteintretensentscheide, mit denen es die Vorinstanz ablehnt, das Asylgesuch auf seine Begründetheit hin zu überprüfen (Art. 31a Abs. 1-3 AsylG), ist die Beurteilungskompetenz der Beschwerdeinstanz grundsätzlich auf die Frage beschränkt, ob die Vorinstanz zu Recht auf das Asylgesuch nicht eingetreten ist (BVGE 2011/9 E. 5).</w:t>
      </w:r>
    </w:p>
    <w:p>
      <w:r>
        <w:rPr>
          <w:b/>
        </w:rPr>
        <w:t>E. 2.2</w:t>
      </w:r>
    </w:p>
    <w:p>
      <w:r>
        <w:t>Gemäss Art. 111a Abs. 1 AsylG verzichtet das Bundesverwaltungsgericht auf einen Schriftenwechsel.</w:t>
      </w:r>
    </w:p>
    <w:p>
      <w:r>
        <w:rPr>
          <w:b/>
        </w:rPr>
        <w:t>E. 3.1</w:t>
      </w:r>
    </w:p>
    <w:p>
      <w:r>
        <w:t>Gemäss Art. 31a Abs. 1 Bst. b AsylG tritt die Vorinstanz auf ein Asylgesuch in der Regel nicht ein, wenn Asylsuchende in einen Drittstaat ausreisen können, welcher für die Durchführung des Asyl- und Wegweisungsverfahrens staatsvertraglich zuständig ist. Jeder Antrag wird von einem einzigen Mitgliedstaat geprüft, der nach den Kriterien des Kapitels III als zuständiger Staat bestimmt wird (Art. 3 Abs. 1, Satz 2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[ABl. L 180/31 vom 29.6.2013; nachfolgend: Dublin-III-VO]). Gemäss Art. 18 Abs. 1 Bst. b Dublin-III-VO ist der Mitgliedstaat verpflichtet, einen Antragsteller, der während der Prüfung eines Antrags in einem anderen Mitgliedstaat einen Antrag gestellt hat oder der sich im Hoheitsgebiet eines anderen Mitgliedstaats ohne Aufenthaltstitel aufhält, nach Massgabe der Art. 23, 24, 25 und 29 wieder aufzunehmen.</w:t>
      </w:r>
    </w:p>
    <w:p>
      <w:r>
        <w:rPr>
          <w:b/>
        </w:rPr>
        <w:t>E. 3.2</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3.3</w:t>
      </w:r>
    </w:p>
    <w:p>
      <w:r>
        <w:t>Erweist es sich als unmöglich, eine antragstellende Person in den eigentlich zuständigen Mitgliedstaat zu überstellen, weil es wesentliche Gründe für die Annahme gibt, dass das Asylverfahren und die Aufnahmebedingungen für Antragstellende in jenem Mitgliedstaat systemische Schwachstellen aufweisen, die eine Gefahr einer unmenschlichen oder entwürdigenden Behandlung im Sinne von Art.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4.1</w:t>
      </w:r>
    </w:p>
    <w:p>
      <w:r>
        <w:t>Ein Abgleich der Fingerabdrücke des Beschwerdeführers mit der Eurodac-Datenbank ergab, dass dieser am 30. Juli 2015 in Ungarn ein Asylgesuch eingereicht hatte. Die ungarischen Behörden liessen das Übernahmeersuchen der Vorinstanz innert der in Art. 22 Abs. 1 Dublin-III-VO vorgesehenen Frist unbeantwortet, womit sie die Zuständigkeit Ungarns implizit anerkannten (Art. 22 Abs. 7 Dublin-III-VO). Die Zuständigkeit Ungarns ist somit grundsätzlich gegeben.</w:t>
      </w:r>
    </w:p>
    <w:p>
      <w:r>
        <w:rPr>
          <w:b/>
        </w:rPr>
        <w:t>E. 4.2</w:t>
      </w:r>
    </w:p>
    <w:p>
      <w:r>
        <w:t>Der Beschwerdeführer bringt in seiner Beschwerde vom 15. Oktober 2015 hiergegen im Wesentlichen vor, die Zulässigkeit beziehungsweise Zumutbarkeit seiner Rückführung nach Ungarn sei zu überprüfen. So sei er entgegen den Ausführungen der Vorinstanz minderjährig und seien die ungarischen Asylbehörden durch die hohe Anzahl an Asylgesuchen total überlastet. Hinzu komme eine Verschärfung der dortigen Asylgesetzgebung. Indem die Vorinstanz in der angefochtenen Verfügung in keiner Weise auf die herrschende Situation und die neue Gesetzgebung in Ungarn eingegangen sei, habe sie ihre Pflicht zur vollständigen Sachverhaltsfeststellung verletzt.</w:t>
      </w:r>
    </w:p>
    <w:p>
      <w:r>
        <w:rPr>
          <w:b/>
        </w:rPr>
        <w:t>E. 4.3</w:t>
      </w:r>
    </w:p>
    <w:p>
      <w:r>
        <w:t>Im Lichte von Art. 3 Abs. 2 Dublin-III-VO ist mithin zu prüfen, ob es wesentliche Gründe für die Annahme gibt, das Asylverfahren und die Aufnahmebedingungen für Asylsuchende in Ungarn würden systemische Schwachstellen aufweisen, welche eine Gefahr einer unmenschlichen oder entwürdigenden Behandlung im Sinne des Art. 4 EU-Grundrechtecharta mit sich bringen und folglich die grundsätzliche Zuständigkeit Ungarns im Sinne von Art. 3 Abs. 1 Dublin-III-VO durchbrechen würden.</w:t>
      </w:r>
    </w:p>
    <w:p>
      <w:r>
        <w:rPr>
          <w:b/>
        </w:rPr>
        <w:t>E. 4.4</w:t>
      </w:r>
    </w:p>
    <w:p>
      <w:r>
        <w:t>Das Bundesverwaltungsgericht hat im Urteil D-7853/2015 vom 31. Mai 2017 (vorgesehen zur Publikation als Referenzurteil) eingehend die Entwicklung der Situation für Asylsuchende in Ungarn - insbesondere für jene, die in Anwendung der Dublin-III-VO nach Ungarn überstellt werden - unter Berücksichtigung des bedeutenden Migrationsstroms analysiert, welchen das Land im Sommer 2015 zu gewärtigen hatte. Es hat das Vorhandensein zahlreicher Unzulänglichkeiten im ungarischen System festgestellt, welche namentlich den Zugang zum Asylverfahren sowie die Unterbringung der Asylsuchenden in den Transitzonen betreffen. Das Gericht hat sich insbesondere mit dem am 28. März 2017 in Kraft getretenen ungarischen Rechtsakt T/13976 über "die Änderung mehrerer Gesetze zur Verschärfung des Asylverfahrens in der Überwachungszone der ungarischen Grenze" befasst. Es hat festgestellt, dass die Umsetzung dieses Aktes, welcher rückwirkend auf sämtliche laufenden Asylverfahren anwendbar ist und eine wesentliche Verschärfung der ungarischen Gesetzgebung mit sich bringt, zahlreiche Unsicherheiten und Fragen nach sich zieht. Es könne daher namentlich nicht mit Sicherheit ermittelt werden, ob Asylsuchende, die nach Ungarn überstellt werden, als nicht aufenthaltsberechtigte Personen angesehen und deshalb in sogenannte "Prätransit"-Zonen abgeschoben werden, oder ob sie als asylsuchende Personen betrachtet werden, deren Gesuche in den Transitzonen zu behandeln sind. Angesichts der zahlreichen Unsicherheiten, die diese neue Gesetzesänderung hinsichtlich des Verfahrenszugangs und der Aufnahmebedingungen mit sich gebracht habe, sei es dem Bundesverwaltungsgericht aufgrund des derzeitigen Stands der Dinge nicht möglich, das Vorliegen systemischer Schwachstellen im Sinne von Art. 3 Abs. 2 Dublin-III-Verordnung sowie die Fragen im Zusammenhang mit tatsächlichen Gefahren ("real risk"), denen Asylsuchende bei einer Überstellung nach Ungarn ausgesetzt sein könnten, abschliessend zu beurteilen. Gestützt auf diese Erwägungen hat das Bundesverwaltungsgericht im erwähnten Urteil die angefochtene Verfügung aufgehoben und die Sache zur neuen Entscheidung an das Staatssekretariat für Migration zurückgewiesen und ausgeführt, es obliege der erstinstanzlichen Behörde, sämtliche Sachverhaltselemente zusammenzutragen, die zur Beurteilung dieser wesentlichen Fragen zu Ungarn erforderlich seien, und es sei nicht die Aufgabe der Beschwerdeinstanz, komplexe ergänzende Abklärungen vorzunehmen. Das Bundesverwaltungsgericht würde sonst mit einem Sachentscheid seine Zuständigkeit überschreiten und die betroffene Partei werde um den gesetzlich vorgesehenen Instanzenzug gebracht (vgl. insb. E. 13 des Urteils).</w:t>
      </w:r>
    </w:p>
    <w:p>
      <w:r>
        <w:rPr>
          <w:b/>
        </w:rPr>
        <w:t>E. 5</w:t>
      </w:r>
    </w:p>
    <w:p>
      <w:r>
        <w:t>Nach dem Gesagten ist es dem Gericht vorliegend nicht möglich, die Beschwerdevorbringen zu beurteilen. Die angefochtene Verfügung ist aufzuheben und die Sache zur vollständigen Sachverhaltsfeststellung sowie zu neuer Entscheidung an die Vorinstanz zurückzuweisen. Die Beschwerde ist mithin gutzuheissen, ohne auf die weiteren Beschwerdevorbringen einzugehen.</w:t>
      </w:r>
    </w:p>
    <w:p>
      <w:r>
        <w:rPr>
          <w:b/>
        </w:rPr>
        <w:t>E. 6</w:t>
      </w:r>
    </w:p>
    <w:p>
      <w:r>
        <w:t>Bei diesem Ausgang des Verfahrens sind keine Kosten zu erheben (Art. 63 Abs. 1 und 2 VwVG). Die erst nach Beschwerdeeinreichung mandatierte Rechtsvertretung hat - ausser der Bekanntgabe ihrer Mandatsübernahme - keine Prozesshandlungen vorgenommen, mithin sind dem Beschwerdeführer keine notwendigen beziehungsweise verhältnismässig hohen Kosten entstanden und keine Parteientschädigung zu entrichten (vgl. Art. 7 ff. des Reglements über die Kosten und Entschädigungen vor dem Bundesverwaltungsgericht vom 21. Februar 2008 [VGKE, SR 173.320.2]). Die Anträge auf unentgeltliche Prozessführung und Verzicht der Erhebung eines Kostenvorschusses sind mit vorliegendem Urteil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