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E-6623/2025 vom 7. August 2025</w:t>
      </w:r>
    </w:p>
    <w:p>
      <w:r>
        <w:t>Bundesverwaltungsgericht, 2025-08-07, DE</w:t>
      </w:r>
    </w:p>
    <w:p>
      <w:r>
        <w:rPr>
          <w:b/>
        </w:rPr>
        <w:t xml:space="preserve">Quelle: </w:t>
      </w:r>
      <w:r>
        <w:t>https://mcp.opencaselaw.ch/entscheid/bvger_E-6623_2025_d20250807</w:t>
      </w:r>
    </w:p>
    <w:p>
      <w:r>
        <w:t>FR: TAF E-6623/2025 du 7 août 2025</w:t>
      </w:r>
    </w:p>
    <w:p>
      <w:r>
        <w:t>IT: TAF E-6623/2025 del 7 agosto 2025</w:t>
      </w:r>
    </w:p>
    <w:p>
      <w:pPr>
        <w:pStyle w:val="Heading2"/>
      </w:pPr>
      <w:r>
        <w:t>Regeste</w:t>
      </w:r>
    </w:p>
    <w:p>
      <w:r>
        <w:t>Fristen (&amp;Uuml;briges) | Wiederherstellung der Beschwerdefrist nach Asylverfahren; Verfügung des SEM vom 7. August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Beschwerdefrist wird abgewiesen.</w:t>
      </w:r>
    </w:p>
    <w:p>
      <w:r>
        <w:rPr>
          <w:b/>
        </w:rPr>
        <w:t>E. 2</w:t>
      </w:r>
    </w:p>
    <w:p>
      <w:r>
        <w:t>Auf die Beschwerde wird nicht eingetreten.</w:t>
      </w:r>
    </w:p>
    <w:p>
      <w:r>
        <w:rPr>
          <w:b/>
        </w:rPr>
        <w:t>E. 3</w:t>
      </w:r>
    </w:p>
    <w:p>
      <w:r>
        <w:t>Die Verfahrenskosten von Fr. 750.- werden dem Gesuchsteller auferlegt. Der geleistete Kostenvorschuss in gleicher Höhe wird zur Bezahlung der Verfahrenskosten verwendet.</w:t>
      </w:r>
    </w:p>
    <w:p>
      <w:r>
        <w:rPr>
          <w:b/>
        </w:rPr>
        <w:t>E. 4</w:t>
      </w:r>
    </w:p>
    <w:p>
      <w:r>
        <w:t>Dieses Urteil geht an den Gesuchsteller, das SEM und die zuständige kantonale Behörde. Der vorsitzende Richter: Der Gerichtsschreiber: Lorenz Noli Valentin Böhler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