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E-6621/2012 vom 28. Januar 2013</w:t>
      </w:r>
    </w:p>
    <w:p>
      <w:r>
        <w:t>Bundesverwaltungsgericht, 2013-01-28, DE</w:t>
      </w:r>
    </w:p>
    <w:p>
      <w:r>
        <w:rPr>
          <w:b/>
        </w:rPr>
        <w:t xml:space="preserve">Quelle: </w:t>
      </w:r>
      <w:r>
        <w:t>https://mcp.opencaselaw.ch/entscheid/bvger_E-6621_2012</w:t>
      </w:r>
    </w:p>
    <w:p>
      <w:r>
        <w:t>FR: TAF E-6621/2012 du 28 janvier 2013</w:t>
      </w:r>
    </w:p>
    <w:p>
      <w:r>
        <w:t>IT: TAF E-6621/2012 del 28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Beschwerdeeingabe vom 20. Dezember 2012 richtet sich ausschliesslich gegen den Wegweisungsvollzug. Somit ist die Verfügung des BFM vom 29. November 2012 in Rechtskraft erwachsen, soweit sie die Frage der Flüchtlingseigenschaft und des Asyls betrifft. Die Wegweisung als solche ist nicht mehr zu überprüfen. Im Folgenden ist daher nur zu prüfen, ob die Vorinstanz den Vollzug der Wegweisung zu Recht angeordnet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 Walter Stöckli, Asyl, in: Uebersax/Rudin/Hugi Yar/Geiser [Hrsg.], Ausländerrecht, 2. Aufl., Basel 2009, N. 11.148).</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konkrete und glaubhafte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ist nicht davon auszugehen, dass ihm im Falle einer Rückschiebung nach Guinea eine derartige Gefahr droht. Auch die allgemeine Menschenrechtssituation in Guinea lässt den Wegweisungsvollzug zum heutigen Zeitpunkt nicht als unzulässig erscheinen. Die Vorinstanz schenkte zwar dem Beschwerdeführer keinen Glauben bezüglich seiner familiären beziehungsweise sozialen Lage, zweifelte jedoch nicht an seiner geltend gemachten Minderjährigkeit. Demnach wurde der Beschwerdeführer am (...) geboren und gilt nach dem massgeblichen schweizerischen Recht als minderjährig. Folglich unterliegt er grundsätzlich den Normen der KRK. Art. 22 Abs. 2 KRK zielt darauf ab, durch Mitwirkung der Vertragsstaaten bei der Informationsbeschaffung die Familienzusammenführung zu fördern. Art. 22 KRK beschlägt indessen nur minderjährige Asylsuchende und Flüchtlinge, nicht aber ausländische Kinder, deren Asylgesuch wie in casu abgewiesen worden ist. Somit besteht keine völkerrechtliche Verpflichtung, im Vorfeld des Vollzugs der Wegweisung eines im Asylverfahren abgewiesenen Kindes Abklärungen über den Aufenthaltsort seiner Angehörigen vorzunehmen (vgl. Entscheidungen und Mitteilungen der Schweizerischen Asylrekurskommission (ARK) [EMARK] 1998 Nr. 13 E. 5d.aa S. 95 f.). Das Kindeswohl gemäss Art. 3 KRK muss jedoch im Rahmen der Zumutbarkeitsprüfung von Art. 83 Abs. 4 AuG als gewichtiger Aspekt mitberücksichtigt werden (vgl. EMARK 1998 Nr. 13 E. 5e.aa S. 98 f.).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BVGE 2009/28 E. 9.3.2; EMARK 2005 Nr. 6 E. 6.2, 1998 Nr. 13 E. 5e/aa).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In Guinea herrscht zur Zeit weder Krieg oder Bürgerkrieg, noch liegt eine Situation allgemeiner Gewalt vor, aufgrund derer die Bevölkerung als konkret gefährdet bezeichnet werden müsste. Der Vollzug der Wegweisung ist unter diesen Umständen nicht generell als unzumutbar zu bezeichnen.</w:t>
      </w:r>
    </w:p>
    <w:p>
      <w:r>
        <w:rPr>
          <w:b/>
        </w:rPr>
        <w:t>E. 4.3.2</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weiterhin gültiger Praxis (vgl. dazu von der ARK entwickelte Praxis in EMARK 1998 Nr. 13; Urteil des Bundesverwaltungsgerichts E-4429/2008 vom 1. September 2008) im Falle von unbegleiteten Minderjährigen das Kindeswohl im Rahmen der Prüfung der Zumutbarkeit des Wegweisungsvollzugs mitzuberücksichtigen ist (vgl. E.4.2.2), woraus sich gleichzeitig die Verpflichtung ergibt, von Amtes wegen die spezifisch mit der Minderjährigkeit verbundenen Aspekte des Wegweisungsvollzuges abzuklären.</w:t>
      </w:r>
    </w:p>
    <w:p>
      <w:r>
        <w:rPr>
          <w:b/>
        </w:rPr>
        <w:t>E. 4.3.3</w:t>
      </w:r>
    </w:p>
    <w:p>
      <w:r>
        <w:t>Für die Asylbehörden ergibt sich daraus die Verpflichtung, von Amtes wegen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die minderjährige Person zu ihren Eltern oder anderen Angehörigen zurückgeführt werden kann und ob diese in der Lage wären, die altersgemässen Bedürfnisse der minderjährigen Person zu abzudecken. Können die Angehörigen nicht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es im betreffenden Land Einrichtungen gebe, die sich um alleinstehende Kinder oder Jugendliche kümmern würden. Es ist vielmehr konkret abzuklären, ob die betreffende minderjährige Person tatsächlich in ihr familiäres Umfeld zurückgeführt werden kann beziehungsweise ob sie - sollte das nicht möglich sein oder nicht dem Kindeswohl entsprechen - anderweitig untergebracht werden kann (vgl. die von der ARK entwickelte Praxis [EMARK 2006 Nr. 24, EMARK 2003 Nr. 5, EMARK 1998 Nr. 13], welche auch vom Bundesverwaltungsgericht weitergeführt wird [Urteile des Bundesverwaltungsgerichts E-4429/2008 vom 1. September 2008 und E-5663/2006 vom 5. Juli 2007]).</w:t>
      </w:r>
    </w:p>
    <w:p>
      <w:r>
        <w:rPr>
          <w:b/>
        </w:rPr>
        <w:t>E. 4.3.4</w:t>
      </w:r>
    </w:p>
    <w:p>
      <w:r>
        <w:t>Das BFM hat daher im Hinblick auf die Anordnung des Vollzugs der Wegweisung vorgängig auch geeignete Massnahmen zu treffen, damit die minderjährige Person bei ihrer Rückkehr von ihren Angehörigen oder von einer Behörde beziehungsweise einer Institution, die in der Lage ist weiterzuhelfen, in Empfang genommen wird (vgl. in diesem Sinn auch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4.3.5</w:t>
      </w:r>
    </w:p>
    <w:p>
      <w:r>
        <w:t>Vorliegend steht - wie bereits erwähnt - fest, dass der Beschwerdeführer als minderjährig gilt. Er ist im heutigen Zeitpunkt (...) alt.</w:t>
      </w:r>
    </w:p>
    <w:p>
      <w:r>
        <w:rPr>
          <w:b/>
        </w:rPr>
        <w:t>E. 4.3.6</w:t>
      </w:r>
    </w:p>
    <w:p>
      <w:r>
        <w:t>Aufgrund der Akten ergibt sich ferner, dass das BFM keine Abklärungen bezüglich der familiären Verhältnisse im Heimatland des Beschwerdeführers vorgenommen hat. Seinen Entscheid hat es auf die Aussagen des Beschwerdeführers abgestützt. Der Beschwerdeführer hat zwar seine Identität nicht belegt. Mit der Vorinstanz ist auch teilweise übereinzustimmen, dass er über sein familiäres Umfeld nur wenige Angaben zu Protokoll gab. So soll seine Mutter gestorben sein, als er achtjährig gewesen sei, und sein Vater soll im Jahre 2010 verschwunden sein. Von seinem Bruder, der das Haus verlassen habe, wisse er ebenfalls nichts. Seine Angaben zur letzten Person, zum Vermieter der Wohnung, bei welchem er vor seiner Ausreise gelebt habe und der ihn verköstigt haben soll, sind nur oberflächlich. Bei der Anhörung wurde jedoch auch nicht nachgefragt, wie das Verhältnis zum Vermieter, bei dem er immerhin während eines Jahres untergebracht worden sein will, gewesen sei. Vor diesem Hintergrund bleibt die Frage nach einem tragfähigen Beziehungsnetz ungeklärt. Aufgrund der bestehenden Aktenlage ist davon auszugehen, dass der Beschwerdeführer an seinem früheren Wohnort in Conakry nicht über ein tragfähiges Beziehungsnetz verfügt. Ohne nähere Abklärungen vor Ort kann nämlich nicht festgestellt werden, ob der Vater des Beschwerdeführers noch lebt, in der Lage und überhaupt bereit wäre, für den Beschwerdeführer zu sorgen. Zwar ist es - wie oben erwähnt - zutreffend, dass der Beschwerdeführer nur marginale Angaben zum Beziehungsnetz machte; indessen darf nicht ausser Acht gelassen werden, dass bei Minderjährigen - wie dies in der Beschwerde (S. 4) mit Hinweis auf die Praxis des Bundesverwaltungsgerichts geltend gemacht wird - generell weniger hohe Anforderungen an einen widerspruchsfreien beziehungsweise glaubhaften Sachvortrag gestellt werden dürfen (vgl. auch EMARK 1999 Nr. 2). Zudem überzeugt die sehr knappe Argumentation der Vorinstanz nicht, wonach die Angaben des Beschwerdeführers generell nicht geglaubt werden könnten, weshalb auch diejenigen über sein familiäres beziehungsweise soziales Umfeld nicht stimmten, da die Vorinstanz weder überzeugend begründete, woraus sich diese Unglaubhaftigkeit ergibt, noch Ausführungen dazu machte, warum sie trotz der verminderten Anforderungen an die Glaubhaftigkeit von Aussagen Minderjähriger vorliegend vom Bestehen eines Beziehungsnetzes ausging und auch in ihrer Vernehmlassung sich nicht veranlasst sah, zusätzliche Abklärungen vorzunehmen. Mit den Feststellungen, der Beschwerdeführer verfüge in seinem Heimatland über ein Beziehungsnetz, weil seine Angaben generell unglaubhaft seien, ist das BFM seiner Pflicht zur Abklärung des relevanten Sachverhaltes nicht nachgekommen. Die Vorinstanz ging sodann auch der Frage nicht nach, ob eine Institution im Heimatland den Beschwerdeführer aufnehmen könnte und ihn bis zur Erreichung der Volljährigkeit betreuen würde oder ihm bei der Weiterreise zu allfälligen weiteren Verwandten behilflich wäre, obwohl die Unterbringung in einer geeigneten Einrichtung für minderjährige Personen in Guinea angesichts der dürftigen Angaben des Beschwerdeführers über sein Beziehungsnetz allenfalls eine valable Alternative darstellen könnte. Damit hat das BFM den rechtserheblichen Sachverhalt unvollständig festgestellt und den zuvor formulierten Anforderungen für die Rückführung minderjähriger Asylsuchender nicht genügt. 5.Beschwerden gegen Verfügungen des BFM über die Verweigerung des Asyls und die Wegweisung haben grundsätzlich reformatorischen und nur ausnahmsweise kassatorischen Charakter (Art. 105 Abs. 1 und Art. 6 AsylG i.V.m. Art. 61 Abs. 1 VwVG). Reformatorische Entscheidungen setzen indessen Entscheidungsreife voraus, worunter insbesondere eine genügende Abklärung des rechtserheblichen Sachverhaltes fällt. Vorliegend fehlt diese bezüglich der Zumutbarkeit des Wegweisungsvollzugs, da die notwendigen Abklärungen vor Ort von der Vorinstanz nicht durchgeführt wurden. Unter diesen Umständen ist die Beschwerde gutzuheissen, die angefochtene Verfügung - soweit sie nicht in Rechtskraft erwachsen ist - aufzuheben und die Sache zur Neubeurteilung im Sinne der Erwägungen an die Vorinstanz zurückzuweisen. 6.Bei diesem Ausgang des Verfahrens sind keine Kosten zu erheben (Art. 63 Abs. 1 VwVG). Das Gesuch um unentgeltliche Prozessführung wird bei dieser Sachlage gegenstandslos. 7.Die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Eine Kostennote wurde nicht eingereicht. Auf das Nachfordern einer solchen kann indessen verzichtet werden, da sich der Aufwand für das Beschwerdeverfahren zuverlässig abschätzen lässt (Art. 14 Abs. 2 VGKE). Unter Berücksichtigung der massgebenden Bemessungsfaktoren (Art. 9 - 13 VGKE) und der Entschädigungspraxis in Vergleichsfällen hat das BFM dem Beschwerdeführer eine Parteientschädigung in der Höhe von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