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E-6616/2016 vom 8. November 2016</w:t>
      </w:r>
    </w:p>
    <w:p>
      <w:r>
        <w:t>Bundesverwaltungsgericht, 2016-11-08, DE</w:t>
      </w:r>
    </w:p>
    <w:p>
      <w:r>
        <w:rPr>
          <w:b/>
        </w:rPr>
        <w:t xml:space="preserve">Quelle: </w:t>
      </w:r>
      <w:r>
        <w:t>https://mcp.opencaselaw.ch/entscheid/bvger_E-6616_2016</w:t>
      </w:r>
    </w:p>
    <w:p>
      <w:r>
        <w:t>FR: TAF E-6616/2016 du 8 novembre 2016</w:t>
      </w:r>
    </w:p>
    <w:p>
      <w:r>
        <w:t>IT: TAF E-6616/2016 del 8 novembre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erwog in Ablehnung der Asylgesuche, die Vorbringen der Beschwerdeführenden würden einerseits den Anforderungen an die Glaubhaftmachung nach Art. 7 AsylG und anderseits jenen an die Flüchtlingseigenschaft nach Art. 3 AsylG nicht genügen. Die Aussagen zu den geltend gemachten Asylgründen seien durchwegs vage, substanzarm, oberflächlich, ausweichend und teilweise widersprüchlich ausgefallen. Es sei nie auch nur ansatzweise ein klares Bild der Ereignisse oder der Eindruck, sie hätten das Geschilderte selbst erlebt, entstanden. Vielmehr sei ein Gesamteindruck hervorgerufen worden, dass es sich bei den geltend gemachten Vorbringen um ein Sachverhaltskonstrukt handle. Darüber hinaus seien die Vorbringen auch nicht asylrelevant, da die Beschwerdeführenden Verfolgung von privater Seite geltend gemacht hätten. Es sei von der Schutzfähigkeit und der Schutzbereitschaft des kosovarischen Staates, bei dem es sich um einen verfolgungssicheren Staat im Sinne von Art. 6a Abs. 2 Bst. a AsylG handle, auszugehen. Es lägen keine konkreten Hinweise vor, die auf Schutzverweigerung oder Schutzunfähigkeit der kosovarischen Polizei schliessen liessen. Häusliche Gewalt sei im Kosovo gesetzlich verboten und durch das Gesetz Nr. 3/L-182 geregelt. Opfer von häuslicher Gewalt würden einen Antrag auf eine Schutzverfügung stellen können und gegen Täter könne bei einer Verurteilung eine Gefängnisstraffe von sechs Monaten bis zu fünf Jahren verhängt werden.</w:t>
      </w:r>
    </w:p>
    <w:p>
      <w:r>
        <w:rPr>
          <w:b/>
        </w:rPr>
        <w:t>E. 5.2</w:t>
      </w:r>
    </w:p>
    <w:p>
      <w:r>
        <w:t>Die Schlussfolgerungen der Vorinstanz sind weder in tatsächlicher noch in rechtlicher Hinsicht zu beanstanden. In der angefochtenen Verfügung wird einlässlich begründet, weshalb die geltend gemachten Asylvorbringen den Anforderungen an die Glaubhaftmachung sowie an die Flüchtlingseigenschaft nicht genügen. Es kann vollumfänglich auf die Erwägungen in der angefochtenen Verfügung verwiesen werden. An dieser Beweiswürdigung vermag auch die (rein appellatorische) Beschwerdebegründung nichts zu ändern. Die Beschwerdeführenden wiederholten lediglich summarisch die geltend gemachten Asylgründe, ohne darzulegen, inwiefern die angefochtene Verfügung Bundesrecht verletzt haben sollte.</w:t>
      </w:r>
    </w:p>
    <w:p>
      <w:r>
        <w:rPr>
          <w:b/>
        </w:rPr>
        <w:t>E. 5.3</w:t>
      </w:r>
    </w:p>
    <w:p>
      <w:r>
        <w:t>Nach dem Gesagten ist es den Beschwerdeführenden nicht gelungen, eine asylrelevante Verfolgungssituation nachzuwiesen oder zumindest glaubhaft zu machen, weshalb das SEM die Flüchtlingseigenschaft zu Recht verneint und die Asylgesuche abgelehnt hat.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Beschwerdeführenden konnten keine asylrelevanten Vorbringen geltend machen. Entgegen ihren Ausführungen ergeben sich nach den erfolgten Erwägungen und aufgrund der Akten auch keine konkreten Anhaltspunkte dafür, dass sie für den Fall einer Ausschaffung in den Kosovo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Lage im Kosovo ist weder von Krieg noch von allgemeiner Gewalt gekennzeichnet, aufgrund derer die Bevölkerung konkret gefährdet wäre und eine Rückführung dorthin als generell unzumutbar betrachtet werden müsste (vgl. BVGE 2011/50). Die Beschwerdeführerin 1 verfügt über mehrjährige Arbeitserfahrung und über ein familiäres Beziehungsnetz sowohl im Kosovo als auch in der Schweiz. Sodann sind die von der Beschwerdeführerin 1 vorgebrachten gesundheitlichen Beschwerden auch in ihrer Heimat behandelbar. Sollten sie bei der Rückkehr auf Hilfe angewiesen sein, steht es ihnen offen, sich an die im Kosovo tätigen internationalen Behörden und Nichtregierungsorganisationen (wie beispielsweise das Kosovo Women's Network) zu wenden, wo sie Unterstützung finden können. Ebenso können die Verwandten in der Schweiz die Beschwerdeführenden finanziell unterstützen. Es sind keine Hindernisse ersichtlich, die den Wegweisungsvollzug unzumutbar erscheinen liessen.</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Anträge auf Kostenvorschussverzicht sowie auf Erteilung der aufschiebenden Wirkung sind mit dem vorliegenden Entscheid hinfällig geworden, wobei letzterer Antrag aufgrund der aufschiebenden Wirkung der Beschwerde von Gesetzes wegen von vornherein gegenstandslos gewesen ist. Ferner erweisen sich nach dem Gesagten die gestellten Rechtsbegehren als aussichtslos, weshalb die Gesuche um unentgeltliche Rechtspflege sowie um Beiordnung eines amtlichen Rechtsbeistands ungeachtet einer allfälligen prozessualen Bedürftigkeit - abzuweisen sind.</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