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E-6613/2014 vom 20. Juli 2016</w:t>
      </w:r>
    </w:p>
    <w:p>
      <w:r>
        <w:t>Bundesverwaltungsgericht, 2016-07-20, DE</w:t>
      </w:r>
    </w:p>
    <w:p>
      <w:r>
        <w:rPr>
          <w:b/>
        </w:rPr>
        <w:t xml:space="preserve">Quelle: </w:t>
      </w:r>
      <w:r>
        <w:t>https://mcp.opencaselaw.ch/entscheid/bvger_E-6613_2014</w:t>
      </w:r>
    </w:p>
    <w:p>
      <w:r>
        <w:t>FR: TAF E-6613/2014 du 20 juillet 2016</w:t>
      </w:r>
    </w:p>
    <w:p>
      <w:r>
        <w:t>IT: TAF E-6613/2014 del 20 luglio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und unglaubhaft ausgefallen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So bestätigt die Beschwerde selbst, es handle sich bei den Widersprüchen einerseits um Missverständnisse und um Dinge, welche angesichts der kurzen Erstbefragung ungenau oder verwirrend erzählt worden seien, es könne auch gut sein, dass "zum Teil etwas verwirrende Antworten" gegeben worden seien und beim Datum sei tatsächlich ein Fehler unterlaufen (Beschwerde S. 3 und S. 4). Die "kurze" Erstbefragung ging eine Stunde (SEM-Akten, A5, S. 10). Zudem wurden dem Beschwerdeführer bereits in der Erstbefragung 18 Fragen betreffend seine Asylgründe gestellt. Insofern ist "kurz" die falsche Bezeichnung. Gesuchsteller haben zwar nicht die Pflicht, sämtliche Gründe ihres Asylgesuchs abschliessend in der Erstbefragung darzulegen. Klare asylrelevante Aussagen, die in der Erstbefragung von den späteren Aussagen diametral abweichen oder bestimmte Ereignisse oder Befürchtungen, die nicht ansatzweise erwähnt werden, lassen sich jedoch nicht mit dem summarischen Charakter der Erstbefragung erklären (so bereits grundlegend Entscheidungen und Mitteilungen der Schweizerischen Asylrekurskommission [EMARK] 1993/3 E. 3 S. 13). Gleiches gilt auch vorliegend, womit der Vorinstanz darin beizupflichten ist, dass der Beschwerdeführer den zentralen und langen Spitalaufenthalt anlässlich der Zweitbefragung nachgeschoben hat. Ferner hat die Vorinstanz ebenso richtig erkannt, dass die Ausführungen des Beschwerdeführers zu seinem langen Aufenthalt in Wia - der das zentrale Element der angeblichen Zwangsrekrutierung darstellt - stereotyp sowie oberflächlich, mithin nicht selbst erlebt ausgefallen sind (SEM-Akten, A15, S. 8 ff.). Selbst die zeitlichen Angaben zu diesem Aufenthalt variieren von zehn Monaten bis zu zwei Jahren (insb. SEM-Akten, A15, S. 13). Hinzu kommt, dass er nicht einmal die Angaben seiner Einheit in beiden Befragungen deckungsgleich zu Protokoll geben kann und es ihm nicht gelingt, diesen Widerspruch aufzuklären (SEM-Akten, A15, S. 13). Selbst die Rekrutierungsrunde soll mal die 19., mal die 20. gewesen sein (insb. SEM-Akten, A15, S. 13). Schliesslich führt die Vorinstanz weitere zutreffende Widersprüche auf (z. B. Zeitpunkt der Razzia, Reiseweg, angefochtene Verfügung S. 4). Es ist folglich der Vorinstanz beizupflichten, dass die Angaben und Aussagen des Beschwerdeführers unglaubhaft sind. Den oberflächlichen Erklärungsversuchen auf Beschwerdeebene ist nicht zu folgen. Was die Ausreise aus Eritrea anbelangt, so zeichnet sich kein anderes Bild ab. Es ist zwar davon auszugehen,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 Aufgrund der Akten stimmt das Gericht jedoch der Vorinstanz darin zu, dass es den Vorbringen des Beschwerdeführers zur angeblich illegalen Ausreise an Realkennzeichen fehlt und die Fluchtgeschichte unglaubhaft ausgefallen ist. So ist in Anbetracht der drakonischen Massnahmen und der Tatsache, dass es sich um eine der gefährlichsten Reiserouten der Welt handelt, der Leichtigkeit des angeblich illegalen Grenzübertritts - "man weiss ja auch in welche Richtung man laufen muss, daher konnte ich die Grenze ohne Probleme passieren" (SEM-Akten, A15, S. 12) - nicht zu folgen. Ferner häuft sich - im Unterschied zu anderen persönlichen Schilderungen - das Wort "man", was von Unsicherheit und nicht selbst Erlebtem zeugt. Stereotyp ist auch, dass er auf vertieftes Nachfragen "viele Hirten unterwegs getroffen" haben will, die zufällig Informationen über den Aufenthalt der Soldaten gehabt haben sollen (SEM-Akten, A15, S. 12). Hinzu kommt eine Mehrzahl von Widersprüchen, die selbst auf Beschwerdeebene nicht nachvollziehbar erklärt werden können. So will der Beschwerdeführer seit 2009 in Khartum gewesen sein, aber Eritrea gemäss Erstbefragung erst im Oktober 2010, gemäss Zweitbefragung im Februar 2012 verlassen haben (SEM-Akten, A5, S. 6, A15, S. 11, F118 f., S. 12, F133). Folgt man der Erstbefragung, so hat er Gerset im Oktober 2010 verlassen, folgt man der Anhörung, muss dies unter anderem im Februar 2012 gewesen sein (SEM-Akten, A5, S. 6, A15, S. 11, F118 ff.). Gegenüber einer dreistündigen Grenzüberquerung zu Fuss und dann weiter nach Shegerab im Personenwagen der Behörden, steht eine viertägige Ausreise zu Fuss bis nach Shegerab. Sodann variiert der Aufenthalt in Shegerab von zwei bis fünf Monaten (SEM-Akten, A5, S. 6, A15, S. 12, F132). Der Beschwerdeführer bringt hiergegen auf Beschwerdeebene vor, die Vorinstanz habe ihn in Bezug auf die Ausreise falsch verstanden, was hingegen bereits aufgrund der Dichte der Widersprüche auszuschliessen ist. Ferner sind auch keine Übersetzungsprobleme den Befragungsprotokollen zu entnehmen, zumal der Beschwerdeführer die Rückübersetzung beider Befragungsprotokolle unterschriftlich bestätigte und nicht nur die Zahlen widersprüchlich ausgefallen sind. Obwohl der Beschwerdeführer die wahren Umstände seiner Ausreise offensichtlich verheimlicht, lässt sich zwar noch nicht mit Bestimmtheit auf eine legale Ausreise schliessen. Aber sie kann auch nicht ausgeschlossen werden. Sich einzig auf die notorisch schwierige Ausreise mit der Hilfe von zufällig anwesenden Hirten zu berufen, reicht nicht aus. Die Partei wird nämlich auch unter der oben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 und aufgrund der offensichtlich unglaubhaften Vorbringen im erstinstanzlichen Verfahren und des Fehlens nachvollziehbarer Erklärungen auf Beschwerdeebene - ist festzustellen, dass der Beschwerdeführer auch das Vorliegen subjektiver Nachfluchtgründe nicht nachzuweisen oder zumindest glaubhaft zu machen vermag. Die Vorinstanz hat zu Recht das Asylgesuch abgelehnt und die Flüchtlingseigenschaft verneint.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nach Eritrea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(EMARK 2005 Nr. 12 E. 10.5-10.8; zur aktuellen Rechtsprechung vgl. z. B. Urteile des BVGer E-3834/2016 vom 23. Juni 2016 E. 6.3, E-5237/2015 vom 20. Oktober 2015 E. 7.2, E-6816/2014 vom 9. Juni 2015, E-6845/2013 vom 10. Januar 2014). In Bezug auf den Beschwerdeführer liegen - wie von der Vorinstanz richtig erkannt - begünstigende individuelle Umstände vor. So pflegt der Beschwerdeführer auch aus der Schweiz regelmässigen Kontakt zu seiner Familie vor Ort (SEM-Akten, A15, S. 3). Ferner leben dort unter anderem seine Eltern, drei Brüder und vier Schwestern sowie seine Verlobte und deren Eltern (SEM-Akten, A5, S. 3 und S. 5 sowie SEM-Akten, A15, S. 3). Schliesslich handelt es sich beim Beschwerdeführer um einen jungen, gesunden Mann mit Schulbildung, dessen Ausreise aus Eritrea dort für niemanden Konsequenzen nach sich gezogen hat (z. B. SEM-Akten, A5, S. 4 und SEM-Akten, A15, S. 12). Erst auf Beschwerdeebene geltend gemachte und nicht belegte Schmerzen in der Schulter vermögen an der Zumutbarkeit eines Wegweisungsvollzugs nichts zu ändern.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Es sind keine Verfahrenskosten zu erheben. Die Gesuche um Gewährung der unentgeltlichen Prozessführung und Verzicht der Erhebung eines Kostenvorschusses wurden von der damals zuständigen Richterin bereits mit Zwischenverfügung vom 22. Januar 2015 gemäss Art. 65 Abs. 1 VwVG gutgeheissen.</w:t>
      </w:r>
    </w:p>
    <w:p>
      <w:r>
        <w:rPr>
          <w:b/>
        </w:rPr>
        <w:t>E. 8.2</w:t>
      </w:r>
    </w:p>
    <w:p>
      <w:r>
        <w:t>Ebenfalls mit Zwischenverfügung vom 22. Januar 2015 wurde der Antrag auf amtliche Rechtsverbeiständung gutgeheissen und Herr Gian Ege von der HEKS Rechtsberatungsstelle als amtlicher Rechtsbeistand im Sinne von Art. 110a AsylG bestellt. Eine Kostennote wurde nicht eingereicht. Die Entschädigung bestimmt sich somit auf Grund der Akten (Art. 14 Abs. 2 VGKE) und ist in Anwendung der gesetzlichen Bemessungsfaktoren (Art. 7-15 VGKE) auf insgesamt Fr. 400.-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