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E-6612/2025 vom 11. Dezember 2025</w:t>
      </w:r>
    </w:p>
    <w:p>
      <w:r>
        <w:t>Bundesverwaltungsgericht, 2025-12-11, DE</w:t>
      </w:r>
    </w:p>
    <w:p>
      <w:r>
        <w:rPr>
          <w:b/>
        </w:rPr>
        <w:t xml:space="preserve">Quelle: </w:t>
      </w:r>
      <w:r>
        <w:t>https://mcp.opencaselaw.ch/entscheid/bvger_E-6612_2025</w:t>
      </w:r>
    </w:p>
    <w:p>
      <w:r>
        <w:t>FR: TAF E-6612/2025 du 11 décembre 2025</w:t>
      </w:r>
    </w:p>
    <w:p>
      <w:r>
        <w:t>IT: TAF E-6612/2025 del 11 dicembre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 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w:t>
      </w:r>
    </w:p>
    <w:p>
      <w:r>
        <w:t>Da die Beschwerdeführenden ihren Subeventualantrag auf Rückweisung der Sache an die Vorinstanz in der Rechtsmitteleingabe nicht begründet haben, ist darauf nicht weiter einzugehen. Es sind denn auch keine Verlet- zungen der Verfahrensrechte der Beschwerdeführenden zu erkennen.</w:t>
      </w:r>
    </w:p>
    <w:p>
      <w:r>
        <w:t>E-6612/2025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und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Beschwerdeführenden hätten gemäss ihren Aussagen den türki- schen Staat kein einziges Mal um Schutz ersucht. Ihre pauschale Argu- mentation, dass sie den Staat nicht beim Staat anzeigen könnten, vermöge nicht zu erklären, weshalb sie angesichts der anhaltenden Todesdrohun- gen nicht zumindest versucht hätten, Hilfe von ihren heimatlichen Behör- den zu erhalten. Dies sei umso weniger verständlich, als dass sie in G._______ gelebt hätten, wo (…). Ihre Verfolger seien sodann in der weit- entfernten Provinz F._______ wohnhaft, wobei ein Bruder (…) und (…) wei- tere Brüder Dorfschützer sein sollen. Diesbezüglich sei darauf hinzuwei- sen, dass kurdische Dorfschützer nicht mit dem Staat gleichzusetzen seien. Es würden sodann keine konkreten Hinweise dafür vorliegen, dass die heimatlichen Behörden den Beschwerdeführenden den Schutz verwei- gern würden. Es wäre ihnen in jedem Fall zuzumuten, bei den zuständigen Stellen um Schutz zu ersuchen. Aufgrund dieser Ausführungen könne nicht davon ausgegangen werden, sie seien allfälligen innerfamiliären Übergrif- fen schutzlos ausgeliefert. Betreffend ihre pauschalen Ausführungen, wo- nach in der Türkei jeden Tag Frauen umgebracht würden, sei schliesslich ergänzend festzuhalten, dass es ausserhalb der Möglichkeit eines Staates liege, jeden denkbaren Übergriff präventiv zu verhindern. Aus diesem</w:t>
      </w:r>
    </w:p>
    <w:p>
      <w:r>
        <w:t>E-6612/2025 Seite 7 Umstand könne jedoch nicht geschlossen werden, dass das Ersuchen um staatlichen Schutz von vornherein ein nutzloses Unterfangen wäre bezie- hungsweise der türkische Staat seiner Schutzpflicht vorliegend nicht nach- gekommen wäre. Demnach sei nicht davon auszugehen, dass die Be- schwerdeführenden alles ihnen Mögliche und Zumutbare unternommen hätten, um in ihrer Heimat Schutz zu erhalten, womit ihren Vorbringen keine Asylrelevanz im Sinne von Art. 3 AsylG zukomme. Bei offensichtlich fehlender flüchtlingsrechtlicher Relevanz könne ferner darauf verzichtet werden, auf allfällige Unglaubhaftigkeitselemente einzu- gehen. Es sei dennoch festzuhalten, dass es erstaune, dass die Beschwer- deführenden sich ständig zu Hause versteckt haben wollen, wo die Brüder der Beschwerdeführerin sie jedoch jederzeit – wie bereits im Jahr (…) – hätten auffinden können. Ob die (älteren) Brüder überhaupt auf der Suche nach den Beschwerdeführenden gewesen seien, bleibe denn auch unklar. Dagegen spreche, dass die (älteren) Brüder nie mehr bei ihnen zu Hause aufgetaucht seien. Auch wäre zu erwarten gewesen, dass die Beschwer- deführenden im Jahr (…) nicht nur innerhalb des gleichen Quartiers umge- zogen, sondern ganz woanders hingezogen wären, wenn sie tatsächlich und konkret damit gerechnet hätten, getötet zu werden. Nach dem Gesag- ten sei – entgegen den Aussagen der Beschwerdeführenden – daher nicht davon auszugehen, dass die (älteren) Brüder der Beschwerdeführerin sie seit mehreren Jahren (und noch immer) töten wollten, zumal die Brüder dazu bereits reichlich Gelegenheit gehabt hätten. Soweit die Beschwerdeführerin weiter geltend mache, zusammen mit ih- rem Sohn im Juni 2023 auf einem Markt Zeuge eines Attentats geworden zu sein, sei im Übrigen darauf hinzuweisen, dass aus ihren Schilderungen zwar ersichtlich sei, dass es sich dabei um einen äusserst einschneiden- den und belastenden Vorfall für sie gehandelt habe. Konkrete Hinweise, dass sich dieses Attentat gegen sie persönlich gerichtet hätte beziehungs- weise ihre älteren Brüder dahintergesteckt hätten, würden aber gänzlich fehlen, zumal die Beschwerdeführerin unverletzt geblieben sei. Es sei da- her nicht von einem gezielten Angriff aus flüchtlingsrechtlich relevanten Gründen auszugehen, weshalb den diesbezüglichen Vorbringen ebenfalls keine Asylrelevanz im Sinne von Art. 3 AsylG zukomme.</w:t>
      </w:r>
    </w:p>
    <w:p>
      <w:r>
        <w:rPr>
          <w:b/>
        </w:rPr>
        <w:t>E. 6.2.1</w:t>
      </w:r>
    </w:p>
    <w:p>
      <w:r>
        <w:t>In der Rechtsmitteleingabe wird dagegen im Wesentlichen eingewen- det, die Vorinstanz habe die asylrelevante Gefährdung der Beschwerde- führenden in der Türkei gänzlich ignoriert. Sie wolle zwar festgestellt</w:t>
      </w:r>
    </w:p>
    <w:p>
      <w:r>
        <w:t>E-6612/2025 Seite 8 haben, dass die Beschwerdeführenden die Voraussetzungen für die Flüchtlingseigenschaft nicht erfüllen, könne dies jedoch in vielen Punkten nicht realitätsangemessen begründen. Die Beschwerdeführerin habe trotz wiederholter Misshandlungen durch ihre Verwandten und Brüder sowie der damit verbundenen Morddrohungen mehrfach in Erwägung gezogen, sich an die türkischen Behörden zu wenden. Da sie jedoch befürchtet habe, dass ihr die türkischen Behörden keinen Schutz bieten würden, sondern sie stattdessen in noch grössere Schwierigkeiten bringen könnten, habe sie davon abgesehen. Dieses Verhalten sei nachvollziehbar und rechtlich gerechtfertigt. Das SEM habe jedoch ohne Berücksichtigung der besonde- ren Umstände vermerkt, dass die Beschwerdeführerin keine Strafanzeige gestellt und keine Hilfe und keinen Schutz von den türkischen Behörden beantragt habe. Dabei gehe sie von der Annahme aus, die türkischen Be- hörden hätten wirksame Massnahmen zum Schutz ergriffen, wenn sich die Beschwerdeführerin an sie gewandt hätte, was jeglicher Erfahrung in sol- chen Fällen widerspreche. In der Türkei sei ein Anstieg der Frauenmorde zu verzeichnen, dem die türkischen staatlichen Institutionen nicht entge- genwirken würden. Obwohl der türkische Staat durch Propagandainstru- mente wie die Medien den Anschein erwecken wolle, viele Massnahmen zum Schutz von Frauen zu ergreifen und grosse Anstrengungen zu unter- nehmen, um männliche Gewalt und Femizide zu verhindern, sehe die Re- alität ganz anders aus. Seit die Türkei aus der Istanbul-Konvention ausge- treten sei, sei die Zahl der Gewalttaten gegen Frauen und die Femizide in der Türkei sodann erheblich angestiegen. Darüber hinaus gäbe es in der Situation der Beschwerdeführerin einen weiteren wichtigen Faktor, der dazu geführt habe, dass sie sich nicht an die türkischen Behörden gewandt habe. Dieser Faktor bestehe darin, dass der Ehemann der Beschwerde- führerin und seine Familie die politische kurdische Bewegung unterstützen, während ihre Brüder für den türkischen Staat und gegen die politische kur- dische Bewegung arbeiten würden. Die Haltung und das Vorgehen der Brü- der würden von den türkischen Behörden unterstützt, denn auch sie wür- den die politische kurdische Bewegung und ihre Anhänger als Verräter und als Staatsfeinde betrachten. Daher sei es höchst unwahrscheinlich, dass die Beschwerdeführerin von den türkischen Behörden Schutz vor der Ge- walt ihrer Brüder erhalten hätte. Die Beschwerdeführenden hätten schliesslich alles in ihrer Macht Stehende getan, um sich vor den Angriffen der Brüder der Beschwerdeführerin zu schützen. So hätten sie häufig ihre Wohnungen gewechselt und, wenn sie dazu keine Möglichkeit gehabt hät- ten, häufig vorübergehend bei Freunden oder Verwandten des Beschwer- deführers gewohnt. Wenn sie umziehen mussten, hätten sie ihre neue Wohnung sodann nicht in demselben Quartier, sondern in L._______, (…),</w:t>
      </w:r>
    </w:p>
    <w:p>
      <w:r>
        <w:t>E-6612/2025 Seite 9 gemietet. Grund hierfür sei gewesen, dass L._______ der Wohnort der Fa- milie des Beschwerdeführers und vieler Verwandter gewesen sei, auf de- ren Unterstützung sie bei Bedarf schnell hätten zurückgreifen können. Es sei jedoch anzumerken, dass L._______ (…) sei, in dem mehr als (…) re- gistrierte Personen und ebenso viele nicht registrierte Personen leben wür- den. Betreffend den Vorfall auf dem Markt sei schliesslich darauf hinzuweisen, dass die Beschwerdeführerin und ihr Sohn danach ständig die Vorstellung gehabt hätten, dass sie ebenso wie die in diesem Vorfall getöteten Perso- nen ermordet würden, was bei ihnen zu grosser Angst geführt habe. Neben diesem subjektiven Element gäbe es aufgrund der jahrelangen Morddro- hungen durch die Brüder denn auch gewichtige objektive Elemente für ihre Furcht.</w:t>
      </w:r>
    </w:p>
    <w:p>
      <w:r>
        <w:rPr>
          <w:b/>
        </w:rPr>
        <w:t>E. 6.2.2</w:t>
      </w:r>
    </w:p>
    <w:p>
      <w:r>
        <w:t>Der Rechtsmitteileingabe lagen im Wesentlichen medizinische Unter- lagen betreffend die Beschwerdeführerin und den Beschwerdeführer bei. Zudem wurden Arztberichte betreffend den älteren Sohn eingereicht, die bereits im vorinstanzlichen Verfahren zu den Akten genommen wurden.</w:t>
      </w:r>
    </w:p>
    <w:p>
      <w:r>
        <w:rPr>
          <w:b/>
        </w:rPr>
        <w:t>E. 7.1</w:t>
      </w:r>
    </w:p>
    <w:p>
      <w:r>
        <w:t>Das Bundesverwaltungsgericht gelangt nach Prüfung der Akten zur Er- kenntnis, dass die Vorbringen der Beschwerdeführenden den Anforderun- gen an die Flüchtlingseigenschaft nach Art. 3 AsylG nicht standzuhalten vermögen.</w:t>
      </w:r>
    </w:p>
    <w:p>
      <w:r>
        <w:rPr>
          <w:b/>
        </w:rPr>
        <w:t>E. 7.2</w:t>
      </w:r>
    </w:p>
    <w:p>
      <w:r>
        <w:t>Soweit die Beschwerdeführenden geltend machen, durch die älteren Brüder der Beschwerdeführerin mit dem Tod bedroht zu werden, ist dies- bezüglich festzuhalten, dass eine Verfolgung durch nichtstaatliche Dritte aufgrund der Subsidiarität des flüchtlingsrechtlichen Schutzes nur dann flüchtlingsrechtlich relevant ist, wenn die betroffene Person in ihrem Hei- matland keinen ausreichenden Schutz finden kann. Der Schutz vor privater (beziehungsweise nichtstaatlicher) Verfolgung ist als hinreichend zu quali- fizieren, wenn die betroffene Person effektiven Zugang zu einer funktionie- renden und effizienten Schutzinfrastruktur hat und ihr die Inanspruch- nahme eines solchen innerstaatlichen Schutzsystems individuell zumutbar ist (vgl. zur sogenannten Schutztheorie: BVGE 2011/51 E. 7). Dabei kann allerdings nicht eine faktische Garantie des Schutzgewährers für langfristi- gen individuellen Schutz der von nichtstaatlicher Verfolgung bedrohten Person verlangt werden: Keinem Staat gelingt es, die absolute Sicherheit aller seiner Bürger jederzeit und überall zu garantieren (vgl. BVGE 2008/4</w:t>
      </w:r>
    </w:p>
    <w:p>
      <w:r>
        <w:t>E-6612/2025 Seite 10 E. 5.2). Das Bundesverwaltungsgericht geht in ständiger Rechtsprechung davon aus, dass die türkischen Behörden grundsätzlich willens und in der Lage sind, bei Behelligungen oder Übergriffen seitens privater Drittperso- nen Schutz zu gewähren und eine funktionierende Schutzinfrastruktur zur Verfügung zu stellen (vgl. statt vieler: Urteil des BVGer D-5377/2024 vom 19. November 2024 E. 7.3 m.w.H.). Ebenso kann rechtsprechungsgemäss von der Schutzfähigkeit und dem grundsätzlichen Schutzwillen der türki- schen Behörden hinsichtlich des Umgangs mit Gewalt gegen Frauen aus- gegangen werden (vgl. insbesondere das Referenzurteil des BVGer E-1948/2018 vom 12. Juni 2018 E. 5.2 ff., bestätigt u.a. im Urteil D-4762/2023 vom 20. September 2023 E. 5.2.2 ff., je m.w.H.). Das SEM hat daher in zutreffender Weise darauf hingewiesen, dass sich die Be- schwerdeführenden bei erneuten Drohungen durch die Brüder nach ihrer Rückkehr in die Türkei an die entsprechenden türkischen Behörden wen- den können, dies allenfalls auch mit der Hilfe eines Rechtsanwaltes bezie- hungsweise einer Rechtsanwältin. Dass die türkischen Behörden im Falle der Beschwerdeführenden nicht schutzwillig oder schutzfähig sind, lässt sich den Akten nicht entnehmen, zumal die Beschwerdeführerin denn auch gar keine Anzeige gegen ihre Brüder erstattet hat. Auch das beschwerde- weise Vorbringen, die Beschwerdeführerin habe nicht nur befürchtet, kei- nen Schutz zu erhalten, sondern, dass die türkischen Behörden sie sogar an diejenigen ausliefern würden, von denen sie Schutz ersuche, vermag an dieser Einschätzung nichts zu ändern. Entsprechende Hinweise lassen sich den Akten nicht entnehmen. Zudem hat das SEM zu Recht festgehal- ten, dass Dorfschützer nicht mit dem türkischen Staat gleichgesetzt wer- den können. Schliesslich ist festzuhalten, dass das letzte Aufeinandertref- fen mit den Brüdern im Jahr (…) stattfand, also (…) Jahre vor der Ausreise der Beschwerdeführenden aus der Türkei, und sie seither keinen direkten Drohungen durch diese mehr ausgesetzt waren.</w:t>
      </w:r>
    </w:p>
    <w:p>
      <w:r>
        <w:rPr>
          <w:b/>
        </w:rPr>
        <w:t>E. 7.3</w:t>
      </w:r>
    </w:p>
    <w:p>
      <w:r>
        <w:t>Was den von den Beschwerdeführenden vorgebrachten Vorfall auf dem Markt im Jahr 2023 anbelangt, ist, ohne zu verkennen, dass es sich dabei um ein äusserst belastendes Ereignis gehandelt hat, festzuhalten, dass die Vorinstanz zu Recht zum Schluss gekommen ist, dass es sich dabei nicht um einen gezielten Angriff gegen die Beschwerdeführerin aus einem flüchtlingsrechtlich relevanten Grund handelte, weshalb diesem keine Asylrelevanz zukommt. Daran vermögen auch die vorausgegange- nen Drohungen der Brüder nichts zu ändern. So hat die Beschwerdeführe- rin selbst angegeben, nicht zu wissen, ob ihre Brüder in den Vorfall invol- viert gewesen seien. Dies erscheint vor dem Hintergrund, dass die Be- schwerdeführerin unverletzt geblieben ist, denn auch nicht plausibel.</w:t>
      </w:r>
    </w:p>
    <w:p>
      <w:r>
        <w:t>E-6612/2025 Seite 11</w:t>
      </w:r>
    </w:p>
    <w:p>
      <w:r>
        <w:rPr>
          <w:b/>
        </w:rPr>
        <w:t>E. 7.4</w:t>
      </w:r>
    </w:p>
    <w:p>
      <w:r>
        <w:t>Der Beschwerdeführer macht ferner geltend, er sei im Jahr (…) von der Polizei auf das Terrorbekämpfungsbüro gebracht und dort gefoltert worden, woraufhin ein Strafverfahren gegen ihn eingeleitet worden sei. Diesem Vor- bringen fehlt es jedoch sowohl an einem zeitlichen als auch an einem sach- lichen Kausalzusammenhang zur Ausreise, zumal der Beschwerdeführer selbst angegeben hat, dass das Strafverfahren nicht der Grund für ihre Flucht aus der Türkei gewesen sei. Diesem Vorbringen kommt daher eben- falls keine Asylrelevanz zu.</w:t>
      </w:r>
    </w:p>
    <w:p>
      <w:r>
        <w:rPr>
          <w:b/>
        </w:rPr>
        <w:t>E. 7.5</w:t>
      </w:r>
    </w:p>
    <w:p>
      <w:r>
        <w:t>Zusammenfassend ist festzuhalten, dass es den Beschwerdeführen- den nicht gelungen ist, eine im Sinne von Art. 3 AsylG relevante Verfol- gungsgefahr nachzuweisen oder glaubhaft darzutun. Die Vorinstanz hat die Asylgesuche der Beschwerdeführenden demzufolge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E-6612/2025 Seite 12</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Rückkehr in ihren Heimatstaat Folter oder unmenschliche Behandlung drohen würde (vgl. Urteil des EGMR Saadi gegen Italien 28. Februar 2008, Grosse Kam- mer 37201/06, § 124 ff. m.w.H.). Nach den vorstehenden Ausführungen gelingt ihnen das nicht. Auch die allgemeine Menschenrechtssituation in der Türkei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t>E-6612/2025 Seite 13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E-4103/2024 vom 8. November 2024 E. 13.4).</w:t>
      </w:r>
    </w:p>
    <w:p>
      <w:r>
        <w:rPr>
          <w:b/>
        </w:rPr>
        <w:t>E. 9.3.2</w:t>
      </w:r>
    </w:p>
    <w:p>
      <w:r>
        <w:t>Auch in individueller Hinsicht sind keine Gründe ersichtlich, die gegen die Zumutbarkeit des Wegweisungsvollzugs sprechen. Die Beschwerde- führenden können in der Türkei mit den Verwandten des Beschwerdefüh- rers auf ein intaktes familiäres Beziehungsnetz zurückgreifen. So haben sie insbesondere selbst angegeben, vom Vater des Beschwerdeführers fi- nanziell unterstützt worden zu sein. Zudem konnte der Beschwerdeführer in der Türkei bereits Arbeitserfahrung als (…) sammeln. Gemäss den bei den Akten liegenden Arztberichten wurden bei der Be- schwerdeführerin insbesondere eine (…), eine (…), ein (…), (…), eine (…) und (…) festgestellt. Der Beschwerdeführer leidet sodann gemäss den ein- gereichten medizinischen Unterlagen an (…) sowie (…), an (…) und (…), an (…), an (…), an (…) sowie an (…). Beim älteren Sohn der Beschwerde- führenden wurde ferner eine (…) und eine (…) diagnostiziert. In Bezug auf diese gesundheitlichen Probleme ist festzuhalten, dass diese nicht für eine medizinische Notlage sprechen, aufgrund welcher von der Unzumutbarkeit des Wegweisungsvollzugs auszugehen wäre. Die Türkei verfügt denn auch grundsätzlich über ein funktionierendes Gesundheitssystem (auch für die Behandlung psychischer Erkrankungen), das insbesondere in grösseren Städten dem europäischen Standard entspricht (vgl. Urteil des BVGer D- 1053/2025 vom 10. Juni 2025 E. 8.3.4 m.w.H.). Unter dem Aspekt des Kindeswohls (Art. 3 Abs. 1 KRK) sind sämtliche Um- stände zu würdigen, die im Hinblick auf den Vollzug einer Wegweisung we- sentlich erscheinen, namentlich das Alter des Kindes, dessen Reife und</w:t>
      </w:r>
    </w:p>
    <w:p>
      <w:r>
        <w:t>E-6612/2025 Seite 14 Abhängigkeit, die Art der Beziehung zu Bezugspersonen (Nähe, Intensität, Tragfähigkeit), die Eigenschaften der Bezugspersonen (insbesondere Un- terstützungsbereitschaft und -fähigkeit), Stand und Prognose bezüglich der Entwicklung und Ausbildung des Kindes sowie der Grad der erfolgten In- 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(vgl. BVGE 2009/51 E. 5.6 und 2009/28 E. 9.3.2). Die Kinder der Beschwerdeführenden sind (…) und (…) Jahre alt. Aufgrund ihres jungen Alters und der relativ kurzen Aufenthalts- dauer in der Schweiz kann noch nicht von einer fortgeschrittenen Verwur- zelung gesprochen werden, zumal ihre Eltern die wichtigsten Bezugsper- sonen sind. Bei einer Rückkehr mit ihren Eltern werden sie daher nicht aus stabilen Beziehungen herausgerissen und sich aufgrund ihres Alters in ih- rem Heimatland problemlos integrieren können. Insbesondere ist aufgrund der gegebenen Umstände nicht davon auszugehen, dass ihre Entwicklung langfristig gefährdet wäre oder die Gefahr von erheblichen psychischen Belastungen besteht. Eine Rückkehr in die Türkei ist demnach mit dem Kindeswohl vereinbar.</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E-6612/2025 Seite 15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 Art. 1–3 des Reglements vom 21. Februar 2008 über die Kosten und Entschädigungen vor dem Bundesverwaltungsgericht [VGKE, SR 173.320.2]). Der am 21. Oktober 2025 in gleicher Höhe geleis- tete Kostenvorschuss ist zur Bezahlung der Verfahrenskosten zu verwen- den. (Dispositiv nächste Seite)</w:t>
      </w:r>
    </w:p>
    <w:p>
      <w:r>
        <w:t>E-6612/2025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