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E-6611/2006 vom 14. August 2008</w:t>
      </w:r>
    </w:p>
    <w:p>
      <w:r>
        <w:t>Bundesverwaltungsgericht, 2008-08-14, DE</w:t>
      </w:r>
    </w:p>
    <w:p>
      <w:r>
        <w:rPr>
          <w:b/>
        </w:rPr>
        <w:t xml:space="preserve">Quelle: </w:t>
      </w:r>
      <w:r>
        <w:t>https://mcp.opencaselaw.ch/entscheid/bvger_E-6611_2006</w:t>
      </w:r>
    </w:p>
    <w:p>
      <w:r>
        <w:t>FR: TAF E-6611/2006 du 14 août 2008</w:t>
      </w:r>
    </w:p>
    <w:p>
      <w:r>
        <w:t>IT: TAF E-6611/2006 del 14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machte in der angefochtenen Verfügung geltend, die Beschwerdeführenden hätten selber ausgesagt, bei den beiden Festnahmen habe es sich um einen Einschüchterungsversuch gehandelt. Beide seien ohne Auflagen wieder freigelassen worden und es sei kein Gerichtsverfahren gegen sie angestrengt und ihr Besitz sei nicht konfisziert worden. Somit sei die Furcht vor einer künftigen asylrelevanten Verfolgung nicht zu begründen.</w:t>
      </w:r>
    </w:p>
    <w:p>
      <w:r>
        <w:rPr>
          <w:b/>
        </w:rPr>
        <w:t>E. 4.2</w:t>
      </w:r>
    </w:p>
    <w:p>
      <w:r>
        <w:t>Dem wird in der Beschwerdeschrift entgegnet, der Begriff "Einschüchterungsversuch" sei dem Beschwerdeführer während der BFF-Befragung in den Mund gelegt worden (A16 S. 10, Frage 37). Davon sei sonst in allen Befragungen und Anhörungen nicht die Rede. Vielmehr gehe aus den Protokollen hervor, dass die Verhaftungen eine konkrete Bedrohung dargestellt hätten. Vorliegend könne keine Rede davon sein, dass es sich lediglich "um einen einfachen Einschüchterungsversuch durch einen Privaten mit Einfluss" handle. Durch die Gefangennahme durch den Sicherheitsdienst des Regimes könnten die Beschwerdeführenden auch nicht auf staatlichen Schutz zählen, wenn sie um solchen nachsuchen würden. Dass es zu keinen weiteren Behelligungen der Familien der Beschwerdeführenden gekommen sei, sei einzig darauf zurückzuführen, dass die Beschwerdeführenden das Land verlassen hätten und damit keine Enthüllungsgefahr für E._______ mehr darstellen würden. Mit Blick auf die Inhaftierung der beiden Beschwerdeführenden durch die Generalsicherheitsdirektion sei ingesamt von einer staatlichen Verfolgung auszugehen, die darauf gegründet habe, dass sich der Beschwerdeführer im Kollegenkreis dem Regime gegenüber kritisch geäussert habe.</w:t>
      </w:r>
    </w:p>
    <w:p>
      <w:r>
        <w:rPr>
          <w:b/>
        </w:rPr>
        <w:t>E. 5.1</w:t>
      </w:r>
    </w:p>
    <w:p>
      <w:r>
        <w:t>Mit einem Grundsatzentscheid wurde in der Zwischenzeit (seit dem vorliegend angefochtenen Bundesamts-Entscheid) im schweizerischen Asylrecht in Abwendung von der Zurechenbarkeitstheorie die sogenannte Schutztheorie anerkannt (EMARK [Entscheidungen und Mitteilungen der Schweizerischen Asylrekurskommission] 2006 Nr. 18). Dergemäss kann heute die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durch den Heimatstaat, unter Umständen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w:t>
      </w:r>
    </w:p>
    <w:p>
      <w:r>
        <w:rPr>
          <w:b/>
        </w:rPr>
        <w:t>E. 5.2</w:t>
      </w:r>
    </w:p>
    <w:p>
      <w:r>
        <w:t>Auch in tatsächlicher Hinsicht hat sich die Lage seit dem erstinstanzlichen Entscheid grundlegend verändert. Am 20. März 2003 griffen amerikanische und britische Truppen und ihre Alliierten den Irak an. Erklärtes und erreichtes Ziel war der Sturz des damaligen Diktators Saddam Hussein. Folge der Invasion war unter anderem der Zusammenbruch der staatlichen Verwaltungsstruktur im Irak und eine von politischen, religiösen, ethnischen und ökonomischen Konflikten geprägte Übergangsphase, die bis zum heutigen Tag anhält und je nach Region verschiedene Ausprägungen erfährt (vgl. zur Publikation vorgesehenes Urteil BVGE D-4404/2006 vom 2. Mai 2008, E. 6.3).</w:t>
      </w:r>
    </w:p>
    <w:p>
      <w:r>
        <w:rPr>
          <w:b/>
        </w:rPr>
        <w:t>E. 5.3</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EMARK 2000 Nr. 2 E. 8a, EMARK 1994 Nr. 24 E. 8a; Walter Kälin, Grundriss des Asylverfahrens, Basel/Frankfurt a.M. 1990, S. 135 ff.).</w:t>
      </w:r>
    </w:p>
    <w:p>
      <w:r>
        <w:rPr>
          <w:b/>
        </w:rPr>
        <w:t>E. 5.4</w:t>
      </w:r>
    </w:p>
    <w:p>
      <w:r>
        <w:t>Nach dem Gesagten wird im Folgenden der Frage nachzugehen sein, ob die Beschwerdeführenden durch gezielt gegen sie gerichtete Verfolgungshandlungen und aufgrund eines flüchtlingsrechtlich relevanten Verfolgungsmotivs ernsthafte Nachteile erlitten hatten oder eine begründete Furcht haben, solchen Nachteilen ausgesetzt zu werden. Weiter ist massgeblich, ob die geltend gemachte Gefährdungslage noch aktuell ist. Geht die Verfolgung von nichtstaatlichen Akteuren aus, ist zu prüfen, ob die Beschwerdeführenden staatlichen Schutz beanspruchen können. Schliesslich stellt sich die Frage, ob eine landesweite Verfolgung gegeben ist und ob die Beschwerdeführenden einer solchen allenfalls hätten innerstaatlich ausweichen können.</w:t>
      </w:r>
    </w:p>
    <w:p>
      <w:r>
        <w:rPr>
          <w:b/>
        </w:rPr>
        <w:t>E. 6.1</w:t>
      </w:r>
    </w:p>
    <w:p>
      <w:r>
        <w:t>Die Akten im vorliegenden Verfahren legen den Schluss nahe, dass es sich bei den Verfolgungshandlungen gegenüber den Beschwerdeführenden tatsächlich um staatliche oder zumindest durch den Staat geschützte Behelligungen handelte. Die Beschwerdeführenden wurden vom staatlichen Sicherheitsdienst für zwei Tage respektive fünf Wochen in Haft genommen. Nach den Angaben des Beschwerdeführers dürfte dies einerseits auf seine kritischen Äusserungen in seinem Kollegenkreis gegenüber dem Regime Saddam Husseins und andererseits auf seine Bemerkung zurückzuführen sein, den Manager des Hotels, E._______ - der über Verbindungen bis in die Nähe Saddam Husseins verfügt habe - gegenüber der Finanzkontrolle der Unterschlagung zu beschuldigen. Ihre schiitische Konfession habe ihre Situation noch weiter verschlimmert.</w:t>
      </w:r>
    </w:p>
    <w:p>
      <w:r>
        <w:rPr>
          <w:b/>
        </w:rPr>
        <w:t>E. 6.2</w:t>
      </w:r>
    </w:p>
    <w:p>
      <w:r>
        <w:t>In ihrer Vernehmlassung hält die Vorinstanz entsprechend fest, die Beschwerdeführenden machten Verfolgung durch Organe des ehemaligen irakischen Regimes im Frühjahr 2002 geltend. Durch die militärische Intervention der USA und ihrer Verbündeten im Frühjahr 2003 habe sich die Situation im Irak grundsätzlich verändert. Die Baath-Regierung unter Saddam Hussein habe ihre politische und militärische Macht über den Irak verloren. Da damit das alte Verfolgerregime nicht mehr existiere, sei die Furcht vor einer Verfolgung durch das Regime Saddam Husseins zum heutigen Zeitpunkt nicht mehr begründet.</w:t>
      </w:r>
    </w:p>
    <w:p>
      <w:r>
        <w:rPr>
          <w:b/>
        </w:rPr>
        <w:t>E. 6.3</w:t>
      </w:r>
    </w:p>
    <w:p>
      <w:r>
        <w:t>Das Bundesverwaltungsgericht stimmt der Auffassung der Vorinstanz zu. Aus heutiger Sicht ist nicht ersichtlich, inwiefern sich die im Jahre 2002 geäusserte Absicht des Beschwerdeführers, seinen Vorgesetzten der Unterschlagung zu bezichtigen, ihm heute noch zum Nachteil gereichen könnte. Nach dem Sturz des Regimes und der Vertreibung der Baath-Partei von der Macht ist nicht davon auszugehen, dass E._______ - sofern er noch an derselben Stelle sein sollte - noch über Beziehungen in den irakischen Machtzirkel verfügt. In Anbetracht des Regimewechsels, der massiven Probleme im Irak und der desaströsen Sicherheitslage kann auch ausgeschlossen werden, dass der Beschwerdeführer wegen seiner Saddam-kritischen Äusserungen zu einer Zielscheibe des heutigen staatlichen Sicherheitsdienstes werden könnte. Schliesslich lässt sich auch aus der Tatsache, dass die Beschwerdeführenden der schiitischen Glaubensrichtung angehören, keine asylrelevante Verfolgung ableiten. Zwar trifft es zu, dass die schiitische Mehrheitsbevölkerung zu Zeiten Saddam Husseins zahlreichen Diskriminierungen ausgesetzt war. Seit den Wahlen im Dezember 2005 sind nun jedoch alle Bevölkerungsgruppen (namentlich Schiiten, Sunniten und Kurden) im irakischen Parlament und in der Einheitsregierung vertreten (vgl. UK-Home Office, Country of Origin Information Report, Iraq, 8. Januar 2008, Ziff. 3.12 ff.). Den Schwerpunkt der Konflikte im heutigen Irak bildet dennoch nunmehr die konfessionelle Gewalt zwischen sunnitischen und schiitischen Teilen der Bevölkerung (vgl. dazu BVGE D-4404/2006 E. 6.4.8). Aus den Akten ist jedoch nichts ersichtlich, wonach die Beschwerdeführenden ein irgendwie geartetes Profil aufweisen würden, das sie besonders - über das durchschnittliche Mass der breiten irakischen Bevölkerung hinaus - zur Zielscheibe sektiererischer Gewalt machen könnte.</w:t>
      </w:r>
    </w:p>
    <w:p>
      <w:r>
        <w:rPr>
          <w:b/>
        </w:rPr>
        <w:t>E. 6.4</w:t>
      </w:r>
    </w:p>
    <w:p>
      <w:r>
        <w:t>Nach dem Gesagten ergibt sich, dass die Beschwerdeführenden keine Asylgründe vorbringen, die im Sinne von Art. 3 AsylG asylrelevant sind. Die Vorinstanz hat somit im Ergebnis zu Recht die Flüchtlingseigenschaft der Beschwerdeführenden verneint und ihr Asylgesuch abgelehnt (Vor diesem Hintergrund kann vorliegend die Frage offengelassen werden, ob es sich bei den geltend gemachten Verhaftungen - wie von der Vorinstanz qualifiziert - tatsächlich lediglich um "Einschüchterungsversuche" gehandelt habe.)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 Beschwerdeführer wurden mit der angefochtenen Verfügung von der Vorinstanz infolge Umzumutbarkeit des Wegweisungsvollzugs in der Schweiz vorläufig aufgenommen. Die Anordnung dieser vorläufigen Aufnahme wird vom vorliegenden Urteil nicht berührt und bleibt bis zu einem allfälligen anderslautenden Entscheid des BFM in Kraft. Die Prüfung etwaiger Wegweisungsvollzugshindernisse kann daher unterbleiben.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und 5 VwVG). Infolge der aus den Akten hervorgehenden Bedürftigkeit der Beschwerdeführenden und der nicht aussichtslosen Begehren ist das mit der Beschwerde eingereichte Gesuch um unentgeltliche Rechtspflege im Sinne von Art. 65 Abs. 1 VwVG jedoch gutzuheissen. Es werden folglich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