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E-6609/2011 vom 24. Januar 2012</w:t>
      </w:r>
    </w:p>
    <w:p>
      <w:r>
        <w:t>Bundesverwaltungsgericht, 2012-01-24, DE</w:t>
      </w:r>
    </w:p>
    <w:p>
      <w:r>
        <w:rPr>
          <w:b/>
        </w:rPr>
        <w:t xml:space="preserve">Quelle: </w:t>
      </w:r>
      <w:r>
        <w:t>https://mcp.opencaselaw.ch/entscheid/bvger_E-6609_2011</w:t>
      </w:r>
    </w:p>
    <w:p>
      <w:r>
        <w:t>FR: TAF E-6609/2011 du 24 janvier 2012</w:t>
      </w:r>
    </w:p>
    <w:p>
      <w:r>
        <w:t>IT: TAF E-6609/2011 del 24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(vgl. W. Stöckli, §11 Asyl, in: Ueber­sax/Rudin/Hug Yar/Geiser [Hrsg.], Ausländerrecht, 2. Auflage, Basel 2009, S. 521 - 588, S. 525 ff.). Nach der sogenannten Schutztheorie (vgl. Entscheidungen und Mitteilungen der Schweizerischen Asylrekurskom­mission [EMARK] 2006 Nr. 18 S. 180) kann eine Verfolgungshandlung im Sinne von Art. 3 AsylG von staatlichen und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 f.; EMARK 2006 Nr. 32 E. 6.1 S. 340 f.). Die Anerkennung der Flüchtlingseigenschaft setzt ferner voraus, dass die betroffene Person einer landesweiten Verfolgung ausgesetzt ist und nicht in einem anderen Teil ihres Heimatstaates um effektiven Schutz nachsuchen kann (vgl. EMARK 2006 Nr. 18 E. 10.3.1 f. S. 203 mit weiteren Hinweisen).</w:t>
      </w:r>
    </w:p>
    <w:p>
      <w:r>
        <w:rPr>
          <w:b/>
        </w:rPr>
        <w:t>E. 5.1</w:t>
      </w:r>
    </w:p>
    <w:p>
      <w:r>
        <w:t>Die Vorinstanz führte zur Begründung ihres ablehnenden Asylentscheides im Wesentlichen aus, die Vorbringen der Beschwerdeführerin 1 hielten weder den Anforderungen an die Glaubhaftig­keit gemäss Art. 7 des Asylgesetzes vom 26. Juni 1998 (AsylG, SR 142.31) noch an die Flüchtlingseigenschaft gemäss Art. 3 AsylG stand. Es sei insbesondere nicht nachvollziehbar, wie sich ein Mann über Monate hinweg ungehindert Zutritt zur Wohnung der Beschwerdeführenden habe verschaffen können, und es wirke lebensfremd, dass die Beschwerdeführerin 1 keine Sicherheitsmassnahmen dagegen ergriffen habe. Zudem habe sie sich widersprüchlich geäussert, indem sie anfangs gesagt habe, keine Anzeige bei der Polizei erhoben zu haben - aus Angst ihr Ehemann würde von den Übergriffen erfahren -, bei der Anhörung jedoch angegeben habe, sich einmal alleine an die Polizei gewendet zu haben. Was die übrigen Übergriffe und Benachteiligungen durch Dritte, insbesondere auch auf die Kinder, angehe, so seien diese asylrechtlich nicht relevant. In Serbien sei am 25. Februar 2002 das Bundesgesetz zum Schutz und zur Freiheit der nationalen Minoritäten in Kraft getreten, ein gesetzlicher Rahmen, der die Rechte der nationalen Minderheiten und der Angehörigen schütze. Zwar könnten vereinzelte Übergriffe durch Drittpersonen auf Roma nicht restlos ausgeschlossen werden, hingegen komme solchen Verfolgungsmassnahmen in der Regel keine asylrelevante Intensität zu. Ausserdem billige oder unterstütze der Staat solche Übergriffe nicht. Es sei demnach, trotz der nicht in Abrede zu stellenden schwierigen Lebensbedingungen der Volksgruppe der Roma, vom Vorhandensein eines adäquaten Schutzes durch den Heimatstaat auszugehen, weshalb die geltend gemachten Übergriffe im vorliegenden Fall nicht asylrelevant seien.</w:t>
      </w:r>
    </w:p>
    <w:p>
      <w:r>
        <w:rPr>
          <w:b/>
        </w:rPr>
        <w:t>E. 5.2</w:t>
      </w:r>
    </w:p>
    <w:p>
      <w:r>
        <w:t>In ihrer Rechtsmitteleingabe wiederholen die Beschwerdeführenden ihre bei der Vorinstanz gemachten Vorbringen und weisen erneut auf die schwierige Situation der Roma in Serbien hin. Der Staat sei nicht in der Lage und gewillt, ihnen Schutz vor Verfolgung und Willkür zu gewähren. Weiter führen sie aus, der Beschwerdeführer 2 sei mehrmals wegen sei­ner ethnischen Zugehörigkeit zusammengeschlagen worden und die Be­schwerdeführerin 1 sei oft von mehreren Männern verfolgt, bedrängt und sexuell belästigt worden.</w:t>
      </w:r>
    </w:p>
    <w:p>
      <w:r>
        <w:rPr>
          <w:b/>
        </w:rPr>
        <w:t>E. 5.3</w:t>
      </w:r>
    </w:p>
    <w:p>
      <w:r>
        <w:t>In Übereinstimmung mit der Vorinstanz gelangt das Bundesverwaltungsgericht zum Schluss, dass die Schilderungen der Be­schwerdeführenden betreffend die sexuellen Belästigungen der Beschwerdeführerin 1 als unglaubhaft zu beurteilen sind. Die Beschwerde­führerin 1 konnte nicht nachvollziehbar darlegen, wie dieser Mann über eine so lange Zeit sich ungehindert Zugang zum Haus verschaffe konnte, obwohl sie offensichtlich seine Anwesenheit nicht wünschte. Überdies erscheint es realitätsfremd, dass dieser Mann sie so lange besucht und immer wieder von ihr abgelassen habe, weil sie ihm den sexuellen Kontakt nicht erlaubt habe und sie nie respektive nur einmal deswegen die Polizei aufgesucht habe. Die in der Rechtsmittelschrift gemachten Vorbringen, wonach die Beschwerdeführerin 1 täglich belästigt und oft von mehreren Männern be­drängt worden sei, sind als nachgeschoben zu erachten und stehen im Widerspruch zu den erstinstanzlichen Aussagen. Im Weiteren schliesst sich das Bundesverwaltungsgericht den ausführli­chen Erwägungen der Vorinstanz zur Situation der Minderheit der Roma in Serbien sowie zur grundsätzlichen Schutzfähigkeit und -willigkeit des Staates vollumfänglich an. Unter Verweis auf deren Ausführungen in der Verfügung vom 10. November 2011 ergibt sich, dass den bei den Anhörungen und auf Beschwerdeebene geltend gemachten alltäglichen Be­nachteiligungen und Diskriminierungen, selbst unter Berücksichtigung der erschwerten Lebensbedingungen der Roma, keine Asylrelevanz zu­kommt. Aufgrund dieser Erwägungen ist auf die weiteren Vorbringen der Beschwerdeführenden - unter anderem betreffend die Schikanen und Be­nachteiligungen im täglichen Leben und in der Schule - nicht mehr näher einzugehen, zumal sie am Ausgang des Verfahrens nichts zu ändern vermögen.</w:t>
      </w:r>
    </w:p>
    <w:p>
      <w:r>
        <w:rPr>
          <w:b/>
        </w:rPr>
        <w:t>E. 5.4</w:t>
      </w:r>
    </w:p>
    <w:p>
      <w:r>
        <w:t>Zusammenfassend ist festzuhalten, dass die Beschwerdeführenden die Voraussetzung zur Zuerkennung der Flüchtlingseigenschaft nicht erfüllen und die Vorinstanz die Asylgesuche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Angesichts der heutigen Lage in Serbien kann gemäss konstanter Praxis nicht von einer Situation allgemeiner Gewalt oder kriegerischen respek­tive bürgerkriegsähnlichen Verhältnissen gesprochen werden. Zur Lage der Roma in Serbien hat sich das Bundesverwaltungsgericht im Urteil E-4115/2006 vom 18. September 2009 ausführlich geäussert. Es stellte unter anderem fest, aufgrund ihrer ethnischen Zugehörigkeit seien Roma generell unterschiedlichen Schikanen und Diskriminierungen ausgesetzt und ihre Lage in wirtschaftlicher und sozialer Sicht sei allgemein schwie­rig (vgl. BVGE 2009 Nr. 51 E. 5.7.2.). Auch wenn Übergriffe von Privatpersonen auf Angehörige der Roma und teilweise behördliche Schikanen sowie Diskriminierungen nicht völlig ausgeschlossen werden können, erreichen diese im Allgemeinen nicht ein Ausmass, welches den Wegweisungsvollzug als unzumutbar erscheinen lässt (vgl. statt vieler Urteil des Bundesverwaltungsgericht D-5714/2009 vom 13. November 2009). Die Beschwerdeführenden bringen nichts Substanziiertes vor, weshalb für sie der Wegweisungsvollzug nicht zumutbar wäre. Gemäss Akten sind die Beschwerdeführenden 1 und 2 im erwerbsfähigen Alter. Dem Beschwerdeführer 2 war es vor der Ausreise möglich, als Arbeiter in der Landwirtschaft für seine Familie aufzukommen. Es ist ihm zumutbar, bei einer Rückkehr diese Tätigkeit wieder aufzunehmen. Mit den Eltern, einem Bruder und zwei Tanten der Beschwerdeführerin 1 und dem Vater, den Geschwistern und Grosseltern des Beschwerdeführers 2 verfügen die Beschwerdeführenden zudem über ein familiäres Beziehungsnetz an ih­rem letzten Wohnsitz in F._______ und in der näheren Umgebung.</w:t>
      </w:r>
    </w:p>
    <w:p>
      <w:r>
        <w:rPr>
          <w:b/>
        </w:rPr>
        <w:t>E. 7.4</w:t>
      </w:r>
    </w:p>
    <w:p>
      <w:r>
        <w:t>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(vgl. dazu EMARK 2005 Nr. 6 E. 6. S. 57 f.). In diesem Zusammenhang ist festzuhalten, dass unter dem Aspekt des Kindeswohls sämtliche Umstände einzubeziehen und zu würdigen sind, die im Hinblick auf einen Wegweisungsvollzug wesentlich erscheinen (vgl. EMARK 1998 Nr. 13 E. 5e/aa).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 Die Beschwerdeführenden 3 und 4 sind (...) und (...) Jahr alt. Da sie sich je­doch erst seit fünf Monaten in der Schweiz aufhalten, was nicht als länge­rer Aufenthalt zu beurteilen ist, ist trotz ihres jugendlichen Alters nicht von einer fortgeschrittenen Integration in der Schweiz auszugehen. Nach dem Gesagten erweist sich der Vollzug der Wegweisung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vorliegendem Urteil in der Hauptsache sind die Gesuche um Verzicht auf die Erhebung eines Kostenvorschusses sowie um vorsorgliche Anwei­sung der zuständigen Behörden, die Kontaktaufnahme und Datenweiter­gabe an die heimatlichen Behörde zu unterlassen, gegenstandslos geworden. Überdies finden sich in den Akten keine Hinweise, wonach be­reits eine Kontaktaufnahme mit den heimatlichen Behörden erfolgt wäre.</w:t>
      </w:r>
    </w:p>
    <w:p>
      <w:r>
        <w:rPr>
          <w:b/>
        </w:rPr>
        <w:t>E. 10</w:t>
      </w:r>
    </w:p>
    <w:p>
      <w:r>
        <w:t>Die Rechtsbegehren haben sich aufgrund vorstehender Erwägungen als aussichtslos erwiesen. Das Gesuch um unentgeltliche Rechtspflege nach Art. 65 Abs. 1 VwVG ist deshalb abzuweisen.</w:t>
      </w:r>
    </w:p>
    <w:p>
      <w:r>
        <w:rPr>
          <w:b/>
        </w:rPr>
        <w:t>E. 11</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