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E-6604/2007 vom 1. Dezember 2010</w:t>
      </w:r>
    </w:p>
    <w:p>
      <w:r>
        <w:t>Bundesverwaltungsgericht, 2010-12-01, DE</w:t>
      </w:r>
    </w:p>
    <w:p>
      <w:r>
        <w:rPr>
          <w:b/>
        </w:rPr>
        <w:t xml:space="preserve">Quelle: </w:t>
      </w:r>
      <w:r>
        <w:t>https://mcp.opencaselaw.ch/entscheid/bvger_E-6604_2007</w:t>
      </w:r>
    </w:p>
    <w:p>
      <w:r>
        <w:t>FR: TAF E-6604/2007 du 1 décembre 2010</w:t>
      </w:r>
    </w:p>
    <w:p>
      <w:r>
        <w:t>IT: TAF E-6604/2007 del 1 dicembre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im Bereich des Ausländerrechts betreffend vorläufige Aufnahme endgültig (Art. 83 Bst. c Ziff. 3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112 Abs. 1 des Bundesgesetzes vom 16. Dezember 2005 über die Ausländerinnen und Ausländer [AuG, SR 142.20] i.V.m. Art. 108 Abs. 1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AsylG).</w:t>
      </w:r>
    </w:p>
    <w:p>
      <w:r>
        <w:rPr>
          <w:b/>
        </w:rPr>
        <w:t>E. 3</w:t>
      </w:r>
    </w:p>
    <w:p>
      <w:r>
        <w:t>Der Gegenstand des vorliegenden Beschwerdeverfahrens ist auf die Frage beschränkt, ob die Vorinstanz die am 15. Dezember 2005 verfügte vorläufige Aufnahme des Beschwerdeführers mit Verfügung vom 29. August 2007 zu Recht aufgehoben hat. Die Voraussetzungen für die Aufhebung der vorläufigen Aufnahme werden seit dem 1. Januar 2008 in Art. 84 Abs. 2 AuG umschrieben. Davor wurde die vorläufige Aufnahme durch das ANAG geregelt, das zeitgleich mit dem Inkrafttreten des AuG aufgehoben wurde (vgl. Art. 125 AuG i.V.m. Ziff. I Anhang 2 zum AuG). Gemäss Art. 126a Abs. 4 AuG gilt - unter Vorbehalt der Absätze 5-7 - für Personen, die im Zeitpunkt des Inkrafttretens der am 16. Dezember 2005 beschlossenen Änderung des Asylgesetzes vom 26. Juni 1998 [AsylG, SR 142.31] sowie des AuG vorläufig aufgenommen waren, das neue Recht. Nachdem der Beschwerdeführer vom BFM mit Verfügung vom 15. Dezember 2005 vorläufig aufgenommen wurde, ist aufgrund der genannten übergangsrechtlichen Regelung das Vorliegen der Voraussetzungen für die Aufhebung der vorläufigen Aufnahme nach neuem Recht zu prüfen.</w:t>
      </w:r>
    </w:p>
    <w:p>
      <w:r>
        <w:rPr>
          <w:b/>
        </w:rPr>
        <w:t>E. 4.1</w:t>
      </w:r>
    </w:p>
    <w:p>
      <w:r>
        <w:t>Wurde eine ausländische Person in der Schweiz vorläufig aufgenommen, so überprüft das BFM periodisch, ob im konkreten Fall die Voraussetzungen für eine vorläufige Aufnahme noch gegeben sind (Art. 84 Abs. 1 AuG). 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4.2</w:t>
      </w:r>
    </w:p>
    <w:p>
      <w:r>
        <w:t>Der Wegweisungsvollzug ist nicht zulässig, wenn völkerrechtliche Verpflichtungen der Schweiz einer Weiterreise der Ausländerin oder des Ausländers in den Heimat-, Herkunfts- oder in einen Drittstaat entgegenstehen (Art. 83 Abs. 3 AuG).</w:t>
      </w:r>
    </w:p>
    <w:p>
      <w:r>
        <w:rPr>
          <w:b/>
        </w:rPr>
        <w:t>E. 4.2.1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4.2.2</w:t>
      </w:r>
    </w:p>
    <w:p>
      <w:r>
        <w:t>Das BFM wies in der angefochtenen Verfügung zutreffend darauf hin, dass der Grundsatz der Nichtrückschiebung nur Personen schützt, die die Flüchtlingseigenschaft erfüllen. Der Beschwerdeführer hatte seine Beschwerde gegen den negativen Asylentscheid des BFM vom 25. Februar 2005 nach der Anordnung der vorläufigen Aufnahme im Asylpunkt zurückgezogen, womit die Feststellung des Nichterfüllens der Flüchtlingseigenschaft in Rechtskraft erwuchs. Damit kann das in Art. 5 AsylG verankerte Prinzip des flüchtlingsrechtlichen Non-Refoulements im vorliegenden Verfahren keine Anwendung finden. Eine Rückkehr des Beschwerdeführers in den Nordirak ist demnach unter dem Aspekt von Art. 5 AsylG rechtmässig.</w:t>
      </w:r>
    </w:p>
    <w:p>
      <w:r>
        <w:rPr>
          <w:b/>
        </w:rPr>
        <w:t>E. 4.2.3</w:t>
      </w:r>
    </w:p>
    <w:p>
      <w:r>
        <w:t>Weder aus den Aussagen des Beschwerdeführers noch aus den Akten ergeben sich Anhaltspunkte für die Annahme, dass er für den Fall einer Rückkehr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w:t>
      </w:r>
    </w:p>
    <w:p>
      <w:r>
        <w:rPr>
          <w:b/>
        </w:rPr>
        <w:t>E. 4.2.4</w:t>
      </w:r>
    </w:p>
    <w:p>
      <w:r>
        <w:t>Nach Praxis des Bundesverwaltungsgerichts lässt schliesslich auch die allgemeine Sicherheits- und Menschenrechtslage in den drei kurdischen Provinzen Dohuk, Erbil und Sulaymaniya (vgl. hierzu die nachfolgende Erwägung 5.3) den Wegweisungsvollzug nicht als unzulässig erscheinen.</w:t>
      </w:r>
    </w:p>
    <w:p>
      <w:r>
        <w:rPr>
          <w:b/>
        </w:rPr>
        <w:t>E. 4.2.5</w:t>
      </w:r>
    </w:p>
    <w:p>
      <w:r>
        <w:t>Nach dem Gesagten ist der Vollzug der Wegweisung sowohl im Sinne der asyl- als auch der völkerrechtlichen Bestimmungen zulässig.</w:t>
      </w:r>
    </w:p>
    <w:p>
      <w:r>
        <w:rPr>
          <w:b/>
        </w:rPr>
        <w:t>E. 4.3</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4.3.1</w:t>
      </w:r>
    </w:p>
    <w:p>
      <w:r>
        <w:t>Das Bundesverwaltungsgericht geht gemäss seiner nach wie vor aktuellen Praxis davon aus, dass in den drei kurdischen Provinzen Dohuk, Erbil und Suleimaniya heute keine Situation allgemeiner Gewalt herrscht und die dortige politische Lage nicht dermassen angespannt ist, dass eine Rückführung dorthin generell als unzumutbar betrachtet werden müsste (vgl. Entscheide des Schweizerischen Bundesverwaltungsgerichts [BVGE] 2008/5 E. 7.5 S. 65 ff.). Zusammenfassend wird im zitierten Leitentscheid festgehalten, dass die Anordnung des Wegweisungsvollzugs in der Regel für alleinstehende, gesunde und junge kurdische Männer, die ursprünglich aus einer der drei kurdischen Provinzen stammen oder eine längere Zeit dort gelebt haben und dort nach wie vor über ein soziales Netz (Familie, Verwandtschaft oder Bekanntenkreis) oder Parteibeziehungen verfügen, zumutbar ist, während für alleinstehende Frauen und für Familien mit Kindern, sowie für Kranke und Betagte bei der Feststellung der Zumutbarkeit des Wegweisungsvollzugs grosse Zurückhaltung angebracht ist (vgl. a.a.O., E. 7.5.8).</w:t>
      </w:r>
    </w:p>
    <w:p>
      <w:r>
        <w:rPr>
          <w:b/>
        </w:rPr>
        <w:t>E. 4.3.2</w:t>
      </w:r>
    </w:p>
    <w:p>
      <w:r>
        <w:t>Die Sicherheitslage in den drei kurdischen Provinzen hat sich seit Publikation des erwähnten Urteils nicht verschlechtert, im Gegenteil. In der überwiegenden Mehrheit der Berichte von Regierungs- und Nichtregierungsorganisationen sowie des UN-Sicherheitsrats wird eine insgesamt stabile Situation beschrieben (vgl. statt vieler: Amt des Hohen Flüchtlingskommissars der Vereinten Nationen [UNHCR], Note on the Continued Applicability of the April 2009 UNHCR Eligibility Guidelines for Assessing the International Protection Needs of Iraqi Asylum-Seekers, Juli 2010, S. 2 ff.).</w:t>
      </w:r>
    </w:p>
    <w:p>
      <w:r>
        <w:rPr>
          <w:b/>
        </w:rPr>
        <w:t>E. 4.3.3</w:t>
      </w:r>
    </w:p>
    <w:p>
      <w:r>
        <w:t>Die ursprünglich vom Beschwerdeführer geltend gemachten Asylgründe waren vom BFM in der rechtskräftig gewordenen Asylverfügung als vollumfänglich unglaubhaft zu qualifizieren. Der Beschwerdeführer ist ein junger Mann ohne familiäre Verpflichtungen, der keine gesundheitlichen Probleme geltend gemacht hat. Er ist kurdischer Ethnie und Sprache und hat seit seiner Geburt bis zur Ausreise in B._______ respektive in der gleichnamigen Provinz gelebt, wo auch seine Eltern, zwei Schwestern und zwei Brüder ansässig sind. Nebst dem familiären Beziehungsnetz dürfte er in B._______ respektive in dessen Provinz über weitere soziale Anknüpfungspunkte verfügen. Er war bis zur Ausreise erwerbstätig. Vor diesem Hintergrund kann davon ausgegangen werden, dass der Beschwerdeführer nach seiner Rückkehr in den Nordirak in der Lage sein wird, sich wiederum eine tragfähige Existenz aufzubauen. Es ist demnach nicht davon auszugehen, dass der Beschwerdeführer bei seiner Rückkehr in die Heimatstadt aus individuellen Gründen wirtschaftlicher, sozialer oder gesundheitlicher Natur in eine existenzbedrohende Situation geraten würde, zumal er - wie in der Verfügung des BFM vom 25. Februar 2005 festgehalten wird - nicht aus einer finanzschwachen Familie stammt.</w:t>
      </w:r>
    </w:p>
    <w:p>
      <w:r>
        <w:rPr>
          <w:b/>
        </w:rPr>
        <w:t>E. 4.3.4</w:t>
      </w:r>
    </w:p>
    <w:p>
      <w:r>
        <w:t>Nach dem Gesagten erweist sich der Vollzug der Wegweisung sowohl aufgrund der allgemeinen Sicherheitslage in den drei kurdi-schen Provinzen als auch in individueller Hinsicht als zumutbar.</w:t>
      </w:r>
    </w:p>
    <w:p>
      <w:r>
        <w:rPr>
          <w:b/>
        </w:rPr>
        <w:t>E. 4.4</w:t>
      </w:r>
    </w:p>
    <w:p>
      <w:r>
        <w:t>Schliesslich obliegt es dem Beschwerdeführer aufgrund seiner Mitwirkungspflicht, sich bei der zuständigen Vertretung des Heimatstaates die für eine Rückkehr notwendigen Reisedokumente zu beschaffen, weshalb der Vollzug der Wegweisung auch als möglich zu bezeichnen ist (Art. 83 Abs. 2 AuG).</w:t>
      </w:r>
    </w:p>
    <w:p>
      <w:r>
        <w:rPr>
          <w:b/>
        </w:rPr>
        <w:t>E. 5</w:t>
      </w:r>
    </w:p>
    <w:p>
      <w:r>
        <w:t>Aus dem Gesagten folgt, dass die Vorinstanz den Vollzug der Wegweisung zu Recht als zulässig, zumutbar und möglich bezeichnet und die vorläufige Aufnahme des Beschwerdeführers aufgehoben hat.</w:t>
      </w:r>
    </w:p>
    <w:p>
      <w:r>
        <w:rPr>
          <w:b/>
        </w:rPr>
        <w:t>E. 6</w:t>
      </w:r>
    </w:p>
    <w:p>
      <w:r>
        <w:t>Unter diesen Umständen erübrigt sich die Prüfung der Frage, ob das BFM angesichts der Straffälligkeit des Beschwerdeführers zu Recht die Ausschlussklausel von Art. 14a Abs. 6 ANAG (neu: Art. 83 Abs. 7 AuG) angewendet hat. Auf die diesbezüglichen Ausführungen des Beschwerdeführers ist deshalb nicht weiter einzugehen.</w:t>
      </w:r>
    </w:p>
    <w:p>
      <w:r>
        <w:rPr>
          <w:b/>
        </w:rPr>
        <w:t>E. 7</w:t>
      </w:r>
    </w:p>
    <w:p>
      <w:r>
        <w:t>Damit ist festzustellen, dass die angefochtene Verfügung - zumindest im Ergebnis - Bundesrecht nicht verletzt, den rechtserheblichen Sachverhalt richtig und vollständig feststellt und angemessen ist. Die Beschwerde ist nach dem Gesagten abzuweisen.</w:t>
      </w:r>
    </w:p>
    <w:p>
      <w:r>
        <w:rPr>
          <w:b/>
        </w:rPr>
        <w:t>E. 8</w:t>
      </w:r>
    </w:p>
    <w:p>
      <w:r>
        <w:t>Nachdem der Beschwerdeführer seit längerer Zeit in der Schweiz erwerbstätig ist, kann nicht mehr von seiner prozessualen Bedürftigkeit gemäss Art. 65 Abs. 1 VwVG ausgegangen werden. Sein Gesuch um Gewährung der unentgeltlichen Rechtspflege ist deshalb abzuweisen. Bei diesem Ausgang des Verfahrens sind die Kosten dem Beschwerdeführer aufzuerlegen (Art. 63 Abs. 1 und 5 VwVG) und auf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