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E-6598/2015 vom 29. Oktober 2015</w:t>
      </w:r>
    </w:p>
    <w:p>
      <w:r>
        <w:t>Bundesverwaltungsgericht, 2015-10-29, DE</w:t>
      </w:r>
    </w:p>
    <w:p>
      <w:r>
        <w:rPr>
          <w:b/>
        </w:rPr>
        <w:t xml:space="preserve">Quelle: </w:t>
      </w:r>
      <w:r>
        <w:t>https://mcp.opencaselaw.ch/entscheid/bvger_E-6598_2015</w:t>
      </w:r>
    </w:p>
    <w:p>
      <w:r>
        <w:t>FR: TAF E-6598/2015 du 29 octobre 2015</w:t>
      </w:r>
    </w:p>
    <w:p>
      <w:r>
        <w:t>IT: TAF E-6598/2015 del 29 ottobre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1.3</w:t>
      </w:r>
    </w:p>
    <w:p>
      <w:r>
        <w:t>Gestützt auf Art. 111a Abs. 1 AsylG wurde vorliegend auf einen Schriftenwechsel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 welche vorliegend gestützt auf Art. 51 Abs. 1 AsylG beantragt wurden - bilden demgegenüber nicht Gegenstand des angefochtenen Nichteintretensentscheides und damit auch nicht des vorliegenden Verfahrens. Auf die entsprechenden Beschwerdeanträge ist deshalb nicht einzutreten.</w:t>
      </w:r>
    </w:p>
    <w:p>
      <w:r>
        <w:rPr>
          <w:b/>
        </w:rPr>
        <w:t>E. 3.1</w:t>
      </w:r>
    </w:p>
    <w:p>
      <w:r>
        <w:t>In der Beschwerdeschrift wurde gerügt, die Sache sei zur vollständigen Abklärung des Sachverhalts sowie zwecks erneuter Entscheidfindung an die Vorinstanz zurückzuweisen. Diese Rüge ist vorab zu prüfen, da ein Verfahrensmangel allenfalls geeignet wäre, eine Kassation des vorinstanzlichen Entscheides zu bewirken (vgl. Alfred Kölz/Isabelle Häner/Martin Bertschi, Verwaltungsverfahren und Verwaltungsrechtspflege des Bundes, 3. Aufl. 2013, Rz. 1156 m.w.H.). Der Einwand wurde dahingehend begründet, der Beschwerdeführer und B._______ seien als Paar zu betrachten und bezüglich dieser Thematik anzuhören. Die Feststellung des SEM, B._______ sei im Jahr 2012 aufgrund eines anderen, in der Schweiz wohnhaften Partners in dieses Land eingereist, rechtfertige die Unterlassung der Anhörungen nicht, zumal das frühere Verhältnis zum anderen Partner nichts über die Qualität der aktuellen Beziehung zum Beschwerdeführer aussage. Da aus dem Befragungsprotokoll von B._______ nichts zugunsten des Beschwerdeführers abgeleitet werden könne, wie dem Beschwerdeführer vorgehalten werde, sei beiden diesbezüglich das rechtliche Gehör zu gewähren.</w:t>
      </w:r>
    </w:p>
    <w:p>
      <w:r>
        <w:rPr>
          <w:b/>
        </w:rPr>
        <w:t>E. 3.2</w:t>
      </w:r>
    </w:p>
    <w:p>
      <w:r>
        <w:t>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(vgl. Kölz/Häner/Bertschi, a.a.O., Rz. 1043). Der Untersuchungsgrundsatz gilt indes nicht uneingeschränkt, zumal er sein Korrelat in der Mitwirkungspflicht des Asylsuchenden findet (Art. 13 VwVG und Art. 8 AsylG; vgl. Christoph Auer in: Auer/Müller/Schindler [Hrsg.], Kommentar zum Bundesgesetz über das Verwaltungsverfahren, 2008, Rz. 8 zu Art. 12). Die entscheidende Behörde darf sich trotz des Untersuchungsgrundsatzes in der Regel darauf beschränken, die Asylvorbringen zu würdigen und die von der asylsuchenden Person angebotenen Beweise abzunehmen, ohne weitere Abklärungen vornehmen zu müssen (vgl. dazu BVGE 2012/21 E. 5.1).</w:t>
      </w:r>
    </w:p>
    <w:p>
      <w:r>
        <w:rPr>
          <w:b/>
        </w:rPr>
        <w:t>E. 3.3</w:t>
      </w:r>
    </w:p>
    <w:p>
      <w:r>
        <w:t>Da der Beschwerdeführer sich vor der Einreise in die Schweiz in einem Drittstaat (Italien) aufgehalten hat, ist zu prüfen, ob er wieder in dieses Land ausreisen kann, weil dieses grundsätzlich aufgrund der Dublin-III-VO für dessen Asyl- und Wegweisungsverfahren zuständig ist (Art. 31a Abs. 1 Bst. b AsylG), wobei allenfalls auch Art. 9 i.V.m. Art. 2 Bst. g Dublin-III-VO (Familienangehörige, die Begünstigte internationalen Schutzes sind) zu berücksichtigen ist, welcher gegenüber Art. 13 Dublin-III-VO (Einreise und/oder Aufenthalt) Vorrang hätte. Auch wenn sich die Vorinstanz nicht explizit mit dieser Bestimmung auseinandergesetzt hat, ist sie doch der Frage nachgegangen, ob die Beziehung des Beschwerdeführers mit B._______ zu einem sogenannten Selbsteintritt der Schweiz führen müsste. Das SEM konnte sich dabei zurecht allein auf die Aussagen des Beschwerdeführers stützen; weitere Abklärungen (wie z.B. zusätzliche Anhörungen) waren nicht vonnöten. Folglich wurde nicht nur der Sachverhalt vom SEM richtig und vollständig abgeklärt, sondern ist auch keine Gehörsverletzung durch die Vorinstanz erkennbar, indem sie den Beschwerdeführer und dessen Freundin bezüglich deren Aussagen nicht zu einer Stellungnahme aufforderte.</w:t>
      </w:r>
    </w:p>
    <w:p>
      <w:r>
        <w:rPr>
          <w:b/>
        </w:rPr>
        <w:t>E. 3.4</w:t>
      </w:r>
    </w:p>
    <w:p>
      <w:r>
        <w:t>Zusammenfassend sind keine Verfahrensfehler zu erkennen. Der Antrag, die Sache sei an die Vorinstanz zurückzuweisen, ist daher abzulehnen.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 wie das vorliegende - sind die in Kapitel III (Art. 8-15 Dublin-III-VO) genannten Kriterien in der dort aufgeführten Rangfolge (Prinzip der Hierarchie der Zuständigkeitskriterien; Art. 7 Abs. 1 Dublin-III-VO) anzuwenden. Es ist von der Situation im Zeitpunkt, in dem der Antragsteller erstmals einen Antrag in einem Mitgliedstaat gestellt hat, auszugehen (Art. 7 Abs. 2 Dublin-III-VO; vgl. BVGE 2012/4 E. 3.2; Christian Filzwieser/Andrea Sprung, Dublin III-Verordnung, Das Europäische Asylzuständigkeitssystem, Stand 1.2.2014, K4 zu Art. 7). Im Rahmen eines Wiederaufnahmeverfahrens (take back) findet demgegenüber grundsätzlich keine (erneute) Zuständigkeitsprüfung nach Kapitel III statt (vgl. BVGE 2012/4 E. 3.2.1 m.w.H.). Kann kein Mitgliedstaat gemäss den aufgeführten Kriterien bestimmt werden, ist derjenige Staat zuständig, in welchem das erste Asylgesuch gestellt wurde (Art. 3 Abs. 2 Satz 1 Dublin-III-VO).</w:t>
      </w:r>
    </w:p>
    <w:p>
      <w:r>
        <w:rPr>
          <w:b/>
        </w:rPr>
        <w:t>E. 5.1</w:t>
      </w:r>
    </w:p>
    <w:p>
      <w:r>
        <w:t>Den vorliegenden Akten ist zu entnehmen, dass sich der Beschwerdeführer vor seiner Einreise in die Schweiz in Italien aufgehalten hatte. Anlässlich seiner Befragung zur Person vom 26. Juni 2015 führte er aus, er sei am (...) 2015 in Italien angekommen. Dort sei er indes weder fotografiert noch registriert worden. Über Mailand sei er dann am 27. Mai 2015 in die Schweiz eingereist (A7 S. 6). Das SEM ersuchte die italienischen Behörden am 3. Juli 2015 um Aufnahme des Beschwerdeführers gestützt auf Art. 13 Abs. 1 Dublin-III-VO. Die italienischen Behörden liessen das Übernahmeersuchen innert der in Art. 22 Abs. 1 Dublin-III-VO vorgesehenen Frist unbeantwortet, womit sie die Zuständigkeit Italiens implizit anerkannten (Art. 22 Abs. 7 Dublin-III-VO). Das SEM ging gestützt darauf davon aus, dass Italien für die Durchführung des Asylgesuchs des Beschwerdeführers zuständig ist.</w:t>
      </w:r>
    </w:p>
    <w:p>
      <w:r>
        <w:rPr>
          <w:b/>
        </w:rPr>
        <w:t>E. 5.2</w:t>
      </w:r>
    </w:p>
    <w:p>
      <w:r>
        <w:t>Demgegenüber machte der Beschwerdeführer durch seine Rechtsvertreterin in seiner Beschwerdeschrift vom 15. Oktober 2015 sinngemäss geltend, dass die Schweiz für die Prüfung seines Asyl- und Wegweisungsverfahrens zuständig sei, da seine Partnerin B._______ mit Verfügung vom 9. Dezember 2013 originär als Flüchtling von der Schweiz Asyl erhalten habe (Art. 9 Dublin-III-VO).</w:t>
      </w:r>
    </w:p>
    <w:p>
      <w:r>
        <w:rPr>
          <w:b/>
        </w:rPr>
        <w:t>E. 5.3</w:t>
      </w:r>
    </w:p>
    <w:p>
      <w:r>
        <w:t>Hat der Antragsteller einen Familienangehörigen, der in der Schweiz aufenthaltsberechtigt ist, ist in der Tat dieses Land für das Asyl- und Wegweisungsverfahren zuständig, sofern die betreffenden Personen diesen Wunsch schriftlich kundtun (Art. 9 Dublin-III-VO). Gemäss Art. 2 Bst. g Dublin-III-VO kann ein nicht verheirateter Partner ein Familienangehöriger sein, sofern beide zusammen eine dauerhafte Beziehung führen. Im Folgenden wird insbesondere zu prüfen sein, ob zwischen den betroffenen Personen eine dauerhafte Beziehung besteht. Weitere Ausführungen zum Aspekt des Bestehens der Familie bereits im Herkunftsland - welcher in der Definition der Familienangehörigen in Art. 2 Bst. g Dublin-III-VO genannt, in der Umschreibung des Zuständigkeitskriteriums von Art. 9 Dublin-III-VO demgegenüber explizit nicht vorausgesetzt wird - können vorliegend unterbleiben.</w:t>
      </w:r>
    </w:p>
    <w:p>
      <w:r>
        <w:rPr>
          <w:b/>
        </w:rPr>
        <w:t>E. 5.4</w:t>
      </w:r>
    </w:p>
    <w:p>
      <w:r>
        <w:t>Der Beschwerdeführer führte an seiner Befragung aus, er und B._______ hätten seit dem Jahr 2008 bis 2010 eine Beziehung geführt, wobei sie nicht zusammen in einer Wohnung, indes in derselben Strasse in C._______ (nahe Asmara) gelebt hätten (A7 S. 3; A12). Am 14. November 2011 stellte B._______ gemäss dem Zentralen Migrationsinformationssystem (ZEMIS) im Rahmen eines Familiennachzugs - ihr angeblicher Freund D._______ (N [...], auch aus C._______) erhielt am 22. Juli 2010 in der Schweiz Asyl - einen Einreiseantrag und ein Asylgesuch. Nachdem die Einreise am 7. September 2012 bewilligt wurde (effektive Einreise am 5. Dezember 2012), hiess die Vorinstanz auch ihr Asylgesuch am 9. Dezember 2013 (Art. 3 AsylG) gut.</w:t>
      </w:r>
    </w:p>
    <w:p>
      <w:r>
        <w:rPr>
          <w:b/>
        </w:rPr>
        <w:t>E. 5.5</w:t>
      </w:r>
    </w:p>
    <w:p>
      <w:r>
        <w:t>Nach Feststellung dieser Ausgangslage ist vorliegend nicht von einer dauerhaften Beziehung auszugehen. Möglicherweise lebten der Beschwerdeführer und B._______ in ihrer Heimat tatsächlich in derselben Strasse, indes beide noch bei ihren Familien (A12), und waren ein Liebespaar. Hingegen ist B._______ aufgrund einer anderen Beziehung, welche vor ihrer Ausreise aus Eritrea im Jahr 2010 von 2005 bis 2008 bestanden haben soll, in die Schweiz gekommen, wo sie aufenthaltsberechtigt wurde. Zwar steht eine frühere Partnerschaft in der Tat einer späteren oder erneuten Beziehung zum Beschwerdeführer nicht entgegen, indes ist sie ein Indiz dafür, dass zwischen dem Beschwerdeführer und seiner Freundin keine dauerhafte Beziehung im Sinne des Gesetzes vorliegt, zumal sie von 2010 - gut zwei Jahre vor der Ausreise von B._______ aus Eritrea - bis zur Einreise des Beschwerdeführers in die Schweiz im Jahr 2015 nicht gelebt wurde. Auch dass der Beschwerdeführer auf seiner Reise nach Europa angeblich im Sudan vorübergehend vom Bruder von B._______ aufgenommen worden sei, kann ein Zeichen von Bekanntschaft sein, ist aber kein Merkmal einer dauerhaften Liebesbeziehung. Nach dem Gesagten kann B._______ nicht als Familienangehörige des Beschwerdeführers im Sinne von Art. 2 Bst. g Dublin-III-VO gelten, weshalb die Schweiz nicht nach Art. 9 Dublin-III-VO für sein Asyl- und Wegweisungsverfahren zuständig ist. Die Zuständigkeit Italiens ist zu bestätigen.</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Der nach dieser Verordnung zuständige Mitgliedstaat ist verpflichtet, einen Antragsteller, der in einem anderen Mitgliedstaat einen Antrag gestellt hat, nach Massgabe der Art. 21, Art. 22 und Art. 29 Dublin-III-VO aufzunehmen (Art. 18 Abs. 1 Bst. a Dublin-III-VO).</w:t>
      </w:r>
    </w:p>
    <w:p>
      <w:r>
        <w:rPr>
          <w:b/>
        </w:rPr>
        <w:t>E. 6.3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Selbsteintrittsrecht).</w:t>
      </w:r>
    </w:p>
    <w:p>
      <w:r>
        <w:rPr>
          <w:b/>
        </w:rPr>
        <w:t>E. 6.4</w:t>
      </w:r>
    </w:p>
    <w:p>
      <w:r>
        <w:t>An dieser Stelle sei erwähnt, dass die Schweiz entgegen den Behauptungen in der Beschwerde vom 15. Oktober 2015 gemäss dem Dublin-Assoziierungsabkommen vom 28. Oktober 2004 (DAA) durchaus verpflichtet ist, die Dublin-III-VO anzuwenden. Indes ist es - wie soeben erwähnt - gestützt auf Art. 17 Abs. 1 Dublin-III-VO für jeden Mitgliedstaat möglich, das Selbsteintrittsrecht auszuüben. Eine extensive Anwendung dieser Bestimmung würde indes das Zuständigkeitssystem der Dublin-III-VO unterhöhlen und wäre kraft Verletzung des "effet utile-Prinzips" als rechtswidrig anzusehen (vgl. Filzwieser/Sprung, a.a.O., K2 zu Art. 17).</w:t>
      </w:r>
    </w:p>
    <w:p>
      <w:r>
        <w:rPr>
          <w:b/>
        </w:rPr>
        <w:t>E. 7.1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von Art. 4 EU-Grundrechtecharta mit sich bringen würden.</w:t>
      </w:r>
    </w:p>
    <w:p>
      <w:r>
        <w:rPr>
          <w:b/>
        </w:rPr>
        <w:t>E. 7.1.1</w:t>
      </w:r>
    </w:p>
    <w:p>
      <w:r>
        <w:t>Italien ist Signatarstaat der Konvention zum Schutze der Menschenrechte und Grundfreiheiten vom 4. November 1950 (EMRK), des Übereinkommens vom 10. Dezember 1984 gegen Folter und andere grausame, unmenschliche oder erniedrigende Behandlung oder Strafe (FoK) und des Abkommens vom 28. Juli 1951 über die Rechtsstellung der Flüchtlinge (FK) sowie des Zusatzprotokolls der FK vom 31. Januar 1967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7.1.2</w:t>
      </w:r>
    </w:p>
    <w:p>
      <w:r>
        <w:t>Unter diesen Umständen ist die Anwendung von Art. 3 Abs. 2 Dublin-III-VO nicht gerechtfertigt.</w:t>
      </w:r>
    </w:p>
    <w:p>
      <w:r>
        <w:rPr>
          <w:b/>
        </w:rPr>
        <w:t>E. 7.2</w:t>
      </w:r>
    </w:p>
    <w:p>
      <w:r>
        <w:t>Der Beschwerdeführer fordert mit seinem Vorbringen ferner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7.2.1</w:t>
      </w:r>
    </w:p>
    <w:p>
      <w:r>
        <w:t>Der Beschwerdeführer brachte in seiner Rechtsmittelschrift vor, es sei gestützt auf Art. 12 und Art. 8 EMRK i.V.m. Art. 17 Abs. 1 Dublin-III-VO auf das Asylgesuch zwingend einzutreten. Art. 8 EMRK ist unter dem Aspekt von Art. 17 Abs. 1 Dublin-III-VO zu berücksichtigen,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Christoph Grabenwarter/Katharina PABEL, Europäische Menschenrechtskonvention, 2012, S. 235 f.; MARK E. VILLIGER, Handbuch der Europäischen Menschenrechtskonvention, 1999, S. 365; Urteil des EGMR [Europäischer Gerichtshof für Menschenrechte] K. und T. gegen Finnland [Grosse Kammer] vom 12. Juli 2001, Nr. 25702/94, § 150). Aufgrund der oben aufgeführten Erwägungen (vgl. E. 5.5) kann nicht von einer tatsächlich gelebten, dauerhaften und stabilen Beziehung im Sinne der Rechtsprechung zu Art. 8 EMRK ausgegangen werden. Des Weiteren ist auch bezüglich Art. 12 EMRK festzuhalten, dass eine womöglich beabsichtigte Heirat in der Schweiz kein Überstellungshindernis zu begründen vermag, zumal ein Ehevorbereitungsverfahren in der Schweiz grundsätzlich auch möglich ist, wenn die Brautleute nicht in der Schweiz wohnen (Art. 62 ff. der Zivilstandsverordnung vom 28. April 2004 [ZStV]), weshalb auch diesbezüglich keine Verletzung von Art. 12 EMRK festzustellen ist (vgl. Urteil des BVGer E-5023/2015 vom 25. August 2015).</w:t>
      </w:r>
    </w:p>
    <w:p>
      <w:r>
        <w:rPr>
          <w:b/>
        </w:rPr>
        <w:t>E. 7.2.2</w:t>
      </w:r>
    </w:p>
    <w:p>
      <w:r>
        <w:t>Der junge und gesunde Beschwerdeführer (A7 S. 8) hat darüber hinaus kein konkretes und ernsthaftes Risiko dargetan, die italienischen Behörden würden sich weigern, ihn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EU-Grundrechtecharta, Art. 3 EMRK oder Art. 3 FoK führen könnten. Der Beschwerdeführer hat auch keine konkreten Hinweise für die Annahme dargetan,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7.2.3</w:t>
      </w:r>
    </w:p>
    <w:p>
      <w:r>
        <w:t>Sollte der Beschwerdeführer sinngemäss das Vorliegen von "humanitären Gründen" geltend machen, ist dazu Folgendes festzuhalten: Gemäss der Praxis des Bundesverwaltungsgerichts verfügt das SEM bei der Anwendung der Kann-Bestimmung von Art. 29a Abs. 3 AsylV 1 über einen Ermessensspielraum (vgl. zum Ganzen das Grundsatzurteil E-641/2014 vom 13. März 2015, zur Publikation vorgesehen).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7.2.4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7.3</w:t>
      </w:r>
    </w:p>
    <w:p>
      <w:r>
        <w:t>Somit bleibt Italien der für die Behandlung des Asylgesuchs des Beschwerdeführers zuständige Mitgliedstaat gemäss Dublin-III-VO. Italien ist verpflichtet, das Asylverfahren gemäss Art. 21, Art. 22 und Art. 29 Dublin-III-VO aufzunehmen.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AuG unter diesen Umständen nicht mehr zu prüfen (vgl. BVGE 2010/45 E. 10).</w:t>
      </w:r>
    </w:p>
    <w:p>
      <w:r>
        <w:rPr>
          <w:b/>
        </w:rPr>
        <w:t>E. 10</w:t>
      </w:r>
    </w:p>
    <w:p>
      <w:r>
        <w:t>Nach dem Gesagten ist die Beschwerde abzuweisen, soweit darauf einzutreten ist, und die Verfügung des SEM zu bestätigen.</w:t>
      </w:r>
    </w:p>
    <w:p>
      <w:r>
        <w:rPr>
          <w:b/>
        </w:rPr>
        <w:t>E. 11</w:t>
      </w:r>
    </w:p>
    <w:p>
      <w:r>
        <w:t>Bei diesem Ausgang des Verfahrens wären die Kosten grundsätzlich dem Beschwerdeführer aufzuerlegen (Art. 63 Abs. 1 VwVG). Nachdem aber mit Verfügung vom 22. Oktober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