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E-6584/2020 vom 27. November 2020</w:t>
      </w:r>
    </w:p>
    <w:p>
      <w:r>
        <w:t>Bundesverwaltungsgericht, 2020-11-27, FR</w:t>
      </w:r>
    </w:p>
    <w:p>
      <w:r>
        <w:rPr>
          <w:b/>
        </w:rPr>
        <w:t xml:space="preserve">Quelle: </w:t>
      </w:r>
      <w:r>
        <w:t>https://mcp.opencaselaw.ch/entscheid/bvger_E-6584_2020_d20201127</w:t>
      </w:r>
    </w:p>
    <w:p>
      <w:r>
        <w:t>FR: TAF E-6584/2020 du 27 novembre 2020</w:t>
      </w:r>
    </w:p>
    <w:p>
      <w:r>
        <w:t>IT: TAF E-6584/2020 del 27 novembre 2020</w:t>
      </w:r>
    </w:p>
    <w:p>
      <w:pPr>
        <w:pStyle w:val="Heading2"/>
      </w:pPr>
      <w:r>
        <w:t>Regeste</w:t>
      </w:r>
    </w:p>
    <w:p>
      <w:r>
        <w:t>Ex&amp;eacute;cution du renvoi | Exécution du renvoi; décision du SEM du 27 novembre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le délai prescrits par la loi, le recours est recevable (art. 48 al. 1 et 52 al. 1 PA ainsi que 108 al. 2 LAsi).</w:t>
      </w:r>
    </w:p>
    <w:p>
      <w:r>
        <w:rPr>
          <w:b/>
        </w:rPr>
        <w:t>E. 2</w:t>
      </w:r>
    </w:p>
    <w:p>
      <w:r>
        <w:t>La décision du 11 mars 2020, en tant qu'elle portait sur la qualité de réfugié et l'asile, avait déjà été confirmée par le Tribunal dans son arrêt E-1999/2020 du 14 août 2020, de sorte que le SEM n'avait plus à se prononcer sur ses points dans sa décision du 27 novembre 2020. Dans celle-ci, il ne fait cependant que répéter son appréciation des motifs d'asile, reprenant à l'identique la motivation précédente sur ceux-ci et rejetant la demande à ce sujet. Par ailleurs, le recours interjeté à l'encontre de la décision présentement attaquée ne l'a pas été en matière d'asile, ni sur le principe du renvoi, mais uniquement sur la question de l'exécution de ce dernier, si bien que seul ce point demeure litigieux dans le cas présent.</w:t>
      </w:r>
    </w:p>
    <w:p>
      <w:r>
        <w:rPr>
          <w:b/>
        </w:rPr>
        <w:t>E. 3</w:t>
      </w:r>
    </w:p>
    <w:p>
      <w:r>
        <w:t>L'exécution du renvoi est ordonnée si elle est licite, raisonnablement exigible et possible. Si l’une de ces conditions n’est pas remplie, l'admission provisoire doit être prononcée. Celle-ci est réglée par l'art. 83 LEI (RS 142.20).</w:t>
      </w:r>
    </w:p>
    <w:p>
      <w:r>
        <w:rPr>
          <w:b/>
        </w:rPr>
        <w:t>E. 3.1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3.3</w:t>
      </w:r>
    </w:p>
    <w:p>
      <w:r>
        <w:t>L'exécution n'est pas possible lorsque l'étranger ne peut pas quitter la Suisse pour son Etat d'origine, son Etat de provenance ou un Etat tiers, ni être renvoyé dans un de ces Etats (art. 83 al. 2 LEI).</w:t>
      </w:r>
    </w:p>
    <w:p>
      <w:r>
        <w:rPr>
          <w:b/>
        </w:rPr>
        <w:t>E. 4</w:t>
      </w:r>
    </w:p>
    <w:p>
      <w:r>
        <w:t>E-6584/2020 Page 9</w:t>
      </w:r>
    </w:p>
    <w:p>
      <w:r>
        <w:rPr>
          <w:b/>
        </w:rPr>
        <w:t>E. 4.1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Cette mesure est dès lors illicite, lorsque l’intéressé peut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l’espèce, l’arrêt du Tribunal du 14 août 2020 (E-1999/2020) avait admis que la recourante ne courrait aucun danger de ce type (cf. consid. 5.5 à 5.7) et la présente procédure n’a apporté aucun élément nouveau à cet égard ; l’intéressée ne l’allègue d’ailleurs pas dans son recours. De plus, elle n’a jamais fait valoir qu’elle aurait été victime de traite au Brésil. Aucun élément ne permet non plus de retenir qu’elle courre un tel danger en cas de retour (« re-trafficking »). En effet, il ressort de ses déclarations, plus particulièrement de celles faites lors de l’audition TEH du</w:t>
      </w:r>
    </w:p>
    <w:p>
      <w:r>
        <w:rPr>
          <w:b/>
        </w:rPr>
        <w:t>E. 4.3</w:t>
      </w:r>
    </w:p>
    <w:p>
      <w:r>
        <w:t>En ce qui concerne l’état de santé de l’intéressée, sur lequel il sera revenu plus loin (cf. consid 6.4), le Tribunal rappelle ce qui suit. Selon la jurisprudence de la CourEDH (cf. arrêt de la CourEDH N. contre Royaume-Uni du 27 mai 2008 [GC] requête n° 26565/05), le retour forcé des personnes touchées dans leur santé n’est susceptible de constituer une violation de l’art. 3 CEDH que si celles-ci se trouvent à un stade avancé et terminal de leur maladie, au point que leur mort apparaît comme une</w:t>
      </w:r>
    </w:p>
    <w:p>
      <w:r>
        <w:t>E-6584/2020 Page 10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 Or, tel n’est manifestement pas le cas de la recourante. En effet, les troubles annoncés et la médication prescrite jusqu’ici ne sont pas révélateurs d’affections d’une gravité ou d’une spécificité telle qu’elles ne pourraient être traitées dans le pays d’origine et feraient peser sur elle un danger d’une extrême gravité.</w:t>
      </w:r>
    </w:p>
    <w:p>
      <w:r>
        <w:rPr>
          <w:b/>
        </w:rPr>
        <w:t>E. 4.4</w:t>
      </w:r>
    </w:p>
    <w:p>
      <w:r>
        <w:t>Par ailleurs, l’intéressée critique l’application incorrecte que le SEM aurait faite de la ConvTEH (RS 0.311.543), citant à l’appui les art. 10, 12, 13, 14 et 16 de cette convention.</w:t>
      </w:r>
    </w:p>
    <w:p>
      <w:r>
        <w:rPr>
          <w:b/>
        </w:rPr>
        <w:t>E. 4.4.1</w:t>
      </w:r>
    </w:p>
    <w:p>
      <w:r>
        <w:t>Cependant, l’art. 10 est une disposition programme, qui oblige les Etats parties à la convention à mettre en place un système légal combattant de manière efficace la traite d'êtres humains, à enquêter sur les allégations de traite et à en identifier les victimes potentielles ainsi que les responsables (cf. arrêt du Tribunal E-3763/2018 du 27 avril 2020 consid. 9.3 et réf. cit.). Ladite disposition n’a ainsi pas d’effets directs sur les justiciables ; de plus, elle implique une obligation non de résultat, mais de moyens. Elle ne peut dès lors baser une éventuelle illicéité de l’exécution du renvoi.</w:t>
      </w:r>
    </w:p>
    <w:p>
      <w:r>
        <w:rPr>
          <w:b/>
        </w:rPr>
        <w:t>E. 4.4.2</w:t>
      </w:r>
    </w:p>
    <w:p>
      <w:r>
        <w:t>La recourante ne précise pas non plus en quoi les art. 12 et 13 ConvTEH auraient été violés. En effet, l’autorité inférieure a correctement appliqué les dispositions topiques de la convention en présence d’un soupçon de traite des êtres humains ; elle a auditionné spécialement l’intéressée sur cette question et lui a accordé un délai de réflexion de 30 jours afin de se rétablir et de réfléchir à la suite à donner à la procédure (cf. arrêt du Tribunal E-3613/2022 du 1er septembre 2022 consid. 6). Enfin celle-ci a eu accès au soutien et aux soins médicaux nécessaires.</w:t>
      </w:r>
    </w:p>
    <w:p>
      <w:r>
        <w:rPr>
          <w:b/>
        </w:rPr>
        <w:t>E. 4.4.3</w:t>
      </w:r>
    </w:p>
    <w:p>
      <w:r>
        <w:t>Par ailleurs, l’intéressée fait valoir une violation des art. 14 et 16 ConvTEH, dans la mesure où aucune autorisation de séjour ne lui a été accordée pour permettre sa collaboration à la procédure pénale et où le renvoi a été prononcé avant la fin de la procédure judiciaire engagée, sans</w:t>
      </w:r>
    </w:p>
    <w:p>
      <w:r>
        <w:t>E-6584/2020 Page 11 se préoccuper de l’avancée de celle-ci ou du dépôt d’une plainte par la recourante. Dans son arrêt publié sous ATF 145 I 308, le Tribunal fédéral a rappelé que, conformément au principe de l'exclusivité de la procédure d'asile prescrit à l’art. 14 al. 1 LAsi, une procédure visant l'octroi d'une autorisation de séjour ne pouvait être engagée pendant la procédure d'asile, devant l’autorité cantonale compétente, que s'il existait un droit à l'obtention d'une telle autorisation (cf. ATF 137 I 351 consid. 3.1). Un tel droit pouvait découler de l'art. 4 CEDH ainsi que de l'art. 14 al. 1 let. b ConvTEH, dès lors que cette dernière disposition possédait un caractère « self- executing ». Le Tribunal fédéral a ainsi jugé qu’il fallait assurer aux victimes d’une traite humaine un droit à un court séjour pendant la durée de l’enquête et de la poursuite pénale, lorsque leur présence en Suisse était requise par les autorités de poursuite pénale, de manière conforme à leurs besoins, pour une lutte efficace et prompte contre la traite humaine (cf. arrêt du Tribunal E-3763/2018 précité consid. 9.5 et réf.cit). En l’espèce, il incombait cependant à l’intéressée de déposer une telle demande d’autorisation de séjour de courte durée, ainsi que le rappelait le Tribunal dans son arrêt du 14 août 2020 (E-1999/2020 ; cf. consid. 7.7) ; il ressort cependant des données du système SYMIC qu’aucune procédure dans ce sens n’a été entamée par la recourante et celle-ci n’en a du reste fait aucune mention. De plus, le fait que la recourante ait été identifiée par le SEM comme victime de traite ne saurait en soi pas faire obstacle à l’exécution de son renvoi, étant précisé qu’il n’existe en l’état aucun élément propre à attester que sa présence sur le sol suisse serait expressément requise (cf. arrêts du Tribunal D-3102/2022 du 22 novembre 2022 consid. 5.4.2 ; E-2591/2022 du 22 novembre 2022 consid. 5.5). En effet, elle est représentée par une avocate dans la procédure pénale ; de plus, celle-ci a été engagée depuis deux ans et se trouve vraisemblablement à un stade avancé, puisqu’un recours était pendant devant l’autorité cantonale au début de l’année 2022 (cf. let. E. et J.) et que la recourante a été convoquée à une audience pénale (cf. courrier du</w:t>
      </w:r>
    </w:p>
    <w:p>
      <w:r>
        <w:rPr>
          <w:b/>
        </w:rPr>
        <w:t>E. 4.5</w:t>
      </w:r>
    </w:p>
    <w:p>
      <w:r>
        <w:t>Dès lors, l’exécution du renvoi ne contrevient pas aux engagements internationaux souscrits par la Suisse et s’avère licite. 5.</w:t>
      </w:r>
    </w:p>
    <w:p>
      <w:r>
        <w:rPr>
          <w:b/>
        </w:rPr>
        <w:t>E. 5</w:t>
      </w:r>
    </w:p>
    <w:p>
      <w:r>
        <w:t>octobre 2020, que ce n’est qu’à B._______ que D._______ était en mesure de s’en prendre à elle et qu’une fois les autorités suisses informées de sa situation, elle se trouvait à l’abri du danger que pouvait représenter cette personne ; elle a déclaré souhaiter porter plainte contre elle (cf. procès-verbal [p-v] de l’audition du 5 octobre 2020, questions 30, 56 à 58 et 65). L’intéressée n’a jamais fait valoir que D._______ serait susceptible de lui porter atteinte dans son pays d’origine. Dès lors, l'exécution du renvoi de la recourante sous forme de refoulement n’est pas contraire à ces dispositions de droit international, de sorte qu'elle s'avère licite à cet égard (art. 44 LAsi et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5.2</w:t>
      </w:r>
    </w:p>
    <w:p>
      <w:r>
        <w:t>Il est notoire que le Brésil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5.3</w:t>
      </w:r>
    </w:p>
    <w:p>
      <w:r>
        <w:t>En ce qui concerne l’état de santé de la recourante,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w:t>
      </w:r>
    </w:p>
    <w:p>
      <w:r>
        <w:t>E-6584/2020 Page 13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2014/26 consid. 7.3 à 7.10 ; 2011/50 consid. 8.3 ; Jurisprudence et informations de la Commission suisse de recours en matière d'asile [JICRA] 2003 no 24 consid. 5b).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w:t>
      </w:r>
    </w:p>
    <w:p>
      <w:r>
        <w:rPr>
          <w:b/>
        </w:rPr>
        <w:t>E. 5.4</w:t>
      </w:r>
    </w:p>
    <w:p>
      <w:r>
        <w:t>En l’espèce, l’intéressée souffre de troubles psychiques ; il s’agissait à l’origine d’un PTSD sévère et d’un état dépressif, traités par médicaments (Sertraline, Zolidem et Temesta, puis Sertraline, Zopiclone et Lorazépam) et un suivi psychothérapeutique (cf. rapports médicaux des 30 mars et 2 novembre 2021 ; let. G. et J.). Ultérieurement, le thérapeute privé en charge de la recourante a constaté une amélioration de son état, caractérisé par un état dépressif modéré, des angoisses, une insomnie et des idées suicidaires occasionnelles ; elle était traitée par Sertraline et bénéficiait toujours d’un suivi psychothérapeutique bimensuel (cf. rapport médical du 14 octobre 2022). Son état s’est « légèrement amélioré » depuis lors ; elle est toujours atteinte d’un état dépressif « sans précision », le traitement médicamenteux se poursuivant par administration de Sertraline, Remeron, Zoldorm et Xanax (cf. rapport médical du 30 août 2023 ; let. K. et L.). Il apparaît dès lors que si l’état de santé de l’intéressée reste fragile, les troubles dont elle souffre ne peuvent pas être considérés comme graves au point de constituer un obstacle dirimant à l’exécution du renvoi. Par ailleurs, comme l’a relevé le SEM dans sa réponse, les soins nécessaires peuvent lui être dispensés à F._______, ville de quelque 500’000 habitants où elle a vécu durant quatorze ans avant son départ du pays (cf. procès- verbal [p-v] du 22 novembre 2019, questions 33 à 36). Celle-là dispose en</w:t>
      </w:r>
    </w:p>
    <w:p>
      <w:r>
        <w:t>E-6584/2020 Page 14 effet d’un hôpital employant plus de 1000 collaborateurs (cf. Hospital Municipal de G._______, accessible sous le site Internet https://hmap.org.br/ et consulté le 18 septembre 2023) et de plusieurs cliniques psychiatriques, dont la « H._______ », citée par le SEM dans sa réponse (cf. I._______, accessible sous le site Internet […] et consulté le 18 septembre 2023). De même, le Brésil dispose d’un service de santé publique (Sistema unico de Saude) offrant une couverture universelle, bien que ses capacités aient été mises à rude épreuve par l’épidémie de Covid- 19 (cf. UK HOME OFFICE, Country Information Note Brazil : Background information, including internal relocation, novembre 2020, accessible sous le site Internet https://assets.publishing.service.gov.uk/government/up- loads/system/up–loads/attachment_data/file/935953/Brazil_- _Background_note_and_Inter-nal_relocation_-_CPIN_- _v1.0__Nov_2020__Gov_uk.pdf et consulté le 18 septembre 2023). Enfin, dans la mesure où elle ne serait pas immédiatement disponible sur place, la Sertraline peut être fournie à la recourante dans le cadre d’une aide au retour appropriée, pour la période suivant son arrivée au Brésil (art. 93 al. 1 let. d LAsi).</w:t>
      </w:r>
    </w:p>
    <w:p>
      <w:r>
        <w:rPr>
          <w:b/>
        </w:rPr>
        <w:t>E. 5.5</w:t>
      </w:r>
    </w:p>
    <w:p>
      <w:r>
        <w:t>En ce qui concerne les perspectives de réintégration de l’intéressée, le Tribunal admet certes qu’elles pourront être difficiles, ainsi qu’il l’avait déjà relevé dans son arrêt du 14 août 2020 (cf. consid. 6.3.3). Toutefois, il apparaît que sa santé s’est améliorée, si bien que les difficultés de réintégration relevées dans le rapport médical du 30 mars 2021, il y a deux ans et demi, ne peuvent plus être tenues pour pertinentes dans la même mesure (cf. let. G. et I.) ; en outre, la poursuite de son traitement ne devrait ainsi pas rencontrer d’obstacles insurmontables. Dans cette mesure, il lui sera plus facile de se réinsérer professionnellement. Si elle n’a été scolarisée que jusqu’au niveau secondaire, la recourante a travaillé durant quatorze ans pour la municipalité de J._______ (cf. p-v de l’audition du 30 octobre 2019, pt 1.17.03, et p-v de l’audition du 22 novembre 2019, questions 37 à 42). Elle ne pourra sans doute pas compter sur un réseau familial solide : elle n’a pas connu son père, n’entretient pas de rapport avec sa mère et n’a ni frère ni sœur. De surcroît, une de ses filles ne lui donnait plus de nouvelles (cf. p-v de l’audition du 30 octobre 2019, pts 1.14 et 3.02, p-v de l’audition du 22 novembre 2019, questions 25, 28, 30 et 31, et p-v de l’audition du 5 octobre 2020, questions 12 et 13) ; quant à la seconde, elle aurait rejoint sa mère en Suisse avec son enfant.</w:t>
      </w:r>
    </w:p>
    <w:p>
      <w:r>
        <w:t>E-6584/2020 Page 15 La recourante a donné l’identité de ses filles, E._______ et K._______ (cf. p-v de l’audition du 30 octobre 2019, pt 1.14). De fait, le système SYMIC mentionne une dénommée E._______, dont la date de naissance est celle indiquée par l’intéressée et qui se trouve dans le canton de B._______ depuis le 17 septembre 2020, mais n’indique pas qu’elle bénéficie d’un droit de séjour légal en Suisse. Entendue quelques semaines plus tard par le SEM, la recourante n’a du reste pas fait mention de l’arrivée de sa fille. En tout état de cause, la contribution de cette dernière, qui lui aurait apporté une certaine aide, n’est pas un élément déterminant, dans la mesure où celle-là est également en charge d’un enfant et que son assistance n’a ainsi pas pu revêtir une grande ampleur pratique ; à ce propos, l’intéressée n’a jamais allégué se trouver dans un rapport de dépendance par rapport à elle. Enfin, au regard du nombre d’années qu’elle a vécu à J._______ et du travail qu’elle y a effectué, il y a tout lieu de penser qu’elle y dispose d’un réseau social important, sur lequel elle pourra compter à son retour.</w:t>
      </w:r>
    </w:p>
    <w:p>
      <w:r>
        <w:rPr>
          <w:b/>
        </w:rPr>
        <w:t>E. 5.6</w:t>
      </w:r>
    </w:p>
    <w:p>
      <w:r>
        <w:t>En conséquence, après pondération des éléments du cas, l'exécution du renvoi doit être considérée comme raisonnablement exigible.</w:t>
      </w:r>
    </w:p>
    <w:p>
      <w:r>
        <w:rPr>
          <w:b/>
        </w:rPr>
        <w:t>E. 6</w:t>
      </w:r>
    </w:p>
    <w:p>
      <w:r>
        <w:t>Enfin, la recourante est détentrice d’un passeport brésilien valable. L'exécution du renvoi ne se heurte ainsi pas à des obstacles insurmontables d'ordre technique et s'avère également possible (cf. ATAF 2008/34 consid. 12).</w:t>
      </w:r>
    </w:p>
    <w:p>
      <w:r>
        <w:rPr>
          <w:b/>
        </w:rPr>
        <w:t>E. 7</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8.1</w:t>
      </w:r>
    </w:p>
    <w:p>
      <w:r>
        <w:t>L’assistance judiciaire totale ayant été accordée et rien n’indiquant que la situation financière de la recourante se soit modifiée dans l’intervalle, il n'y a pas lieu de percevoir de frais (art. 65 al. 1 PA).</w:t>
      </w:r>
    </w:p>
    <w:p>
      <w:r>
        <w:rPr>
          <w:b/>
        </w:rPr>
        <w:t>E. 8.2</w:t>
      </w:r>
    </w:p>
    <w:p>
      <w:r>
        <w:t>En l'espèce, le Tribunal fixe le montant de l'indemnité sur la base de la note de frais du 30 décembre 2020 jointe au recours (art. 14 al. 2 du</w:t>
      </w:r>
    </w:p>
    <w:p>
      <w:r>
        <w:t>E-6584/2020 Page 16 règlement du 21 février 2008 concernant les frais, dépens et indemnités fixés par le Tribunal administratif fédéral [FITAF, RS 173.320.2]) et d'une estimation raisonnable des frais survenus depuis.</w:t>
      </w:r>
    </w:p>
    <w:p>
      <w:r>
        <w:rPr>
          <w:b/>
        </w:rPr>
        <w:t>E. 8.3</w:t>
      </w:r>
    </w:p>
    <w:p>
      <w:r>
        <w:t>Le Tribunal admet que la note est justifiée sous l’angle du nombre d’heures de travail, qui fait état de 6,5 heures en tout. Se basant sur le tarif horaire de 200 à 220 francs applicable aux mandataires professionnels titulaires d’un brevet d’avocat (art. 12 FITAF en rapport avec l’art. 10 al. 2 FITAF), ce dont bénéficie la mandataire dans le cas présent, il fixe ainsi le montant de l’indemnité à 1’300 francs, au tarif horaire de 200 francs indiqué dans la note ; s’y ajoute, au regard des démarches ultérieures (rédaction de sept courtes lettres dont trois avec annexes et d’une brève réplique), la somme de 300 francs pour 1,5 heure de travail.</w:t>
      </w:r>
    </w:p>
    <w:p>
      <w:r>
        <w:rPr>
          <w:b/>
        </w:rPr>
        <w:t>E. 8.4</w:t>
      </w:r>
    </w:p>
    <w:p>
      <w:r>
        <w:t>Le montant de l’indemnité est ainsi de 1'600 francs pour 8 heures de travail ; s’y ajoute le supplément de 7,7% pour la TVA au sens de l’art. 9 al. 1 let. c FITAF, à laquelle l’association employant la mandataire est assujettie, soit 123,20 francs. L’indemnité totale est dès lors fixée à 1'723,20 francs.</w:t>
      </w:r>
    </w:p>
    <w:p>
      <w:r>
        <w:t>(dispositif : page suivante)</w:t>
      </w:r>
    </w:p>
    <w:p>
      <w:r>
        <w:t>E-6584/2020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