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E-6582/2017 vom 24. Mai 2019</w:t>
      </w:r>
    </w:p>
    <w:p>
      <w:r>
        <w:t>Bundesverwaltungsgericht, 2019-05-24, DE</w:t>
      </w:r>
    </w:p>
    <w:p>
      <w:r>
        <w:rPr>
          <w:b/>
        </w:rPr>
        <w:t xml:space="preserve">Quelle: </w:t>
      </w:r>
      <w:r>
        <w:t>https://mcp.opencaselaw.ch/entscheid/bvger_E-6582_2017</w:t>
      </w:r>
    </w:p>
    <w:p>
      <w:r>
        <w:t>FR: TAF E-6582/2017 du 24 mai 2019</w:t>
      </w:r>
    </w:p>
    <w:p>
      <w:r>
        <w:t>IT: TAF E-6582/2017 del 24 maggio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2.2</w:t>
      </w:r>
    </w:p>
    <w:p>
      <w:r>
        <w:t>Teile der Beschwerde beziehungsweise zitierte Quellen sind in englischer Sprache und damit nicht in einer Amtssprache des Bundes abgefasst (vgl. Art. 105 AsylG i.V.m. Art. 33a VwVG und Art. 70 Abs. 1 BV). Die Eingabe weist jedoch keine Unklarheiten auf, weshalb praxisgemäss auf die Einholung einer Übersetzung in eine Amtssprache zu verzichten ist (vgl. statt vieler Urteil des BVGer E-5509/2011 vom 22. November 2011).</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Gemäss Art. 111a Abs. 1 AsylG verzichtet das Bundesverwaltungsgericht auf einen Schriftenwechsel.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Uebersax/Rudin/Hugi/Geiser [Hrsg.], Ausländerrecht,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4.4</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4.5</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im Wesentlichen zum Schluss, die Angaben zu den zentralen Elementen der Asylbegründung seien widersprüchlich und ungereimt ausgefallen, was auf einen konstruierten, nicht erlebten Sachverhalt schliessen lasse. Der Beschwerdeführer habe viele Belege zu den Akten gereicht, aber keine zu seiner Zeit in Sawa. Zudem habe er in den Befragungen unterschiedliche Angaben namentlich zu seiner dortigen Auseinandersetzung mit (...), zur anschliessenden Haft und seiner Ausreise gemacht. So sei der Grund für die Auseinandersetzung zunächst verweigerter Urlaub für die Taufe seiner Tochter, dann - in der Anhörung - das Verbieten des Tragens eines Eheringes gewesen. Gemäss Befragung zur Person habe diese Auseinandersetzung mit dem (...), gemäss Anhörung mit dem (...) stattgefunden. Die Haft sei in der Befragung zur Person mit vier Tagen, in der Anhörung mit ungefähr vier Monaten und das Ausreisedatum mit Februar 2009 beziehungsweise Dezember 2008 angegeben worden. Seine Erklärungsversuche zu diesen gravierenden Widersprüchen seien nicht überzeugend ausgefallen. Schliesslich begründe die vorliegend geltend gemachte illegale Ausreise für sich alleine keine asylrelevante Verfolgung.</w:t>
      </w:r>
    </w:p>
    <w:p>
      <w:r>
        <w:rPr>
          <w:b/>
        </w:rPr>
        <w:t>E. 5.2</w:t>
      </w:r>
    </w:p>
    <w:p>
      <w:r>
        <w:t>Auf Beschwerdeebene wird dem im Wesentlichen entgegengestellt, der Beschwerdeführer habe sich durch seine Flucht der Haft und dem Militärdienst entzogen. Die Anhörungsprotokolle würden bei einer Gesamtbetrachtung zeigen, dass er Einziehung, Haft und Flucht in einer Art und Weise geschildert habe, die in hohem Masse für seine Glaubwürdigkeit spreche. Die Vorinstanz habe zwar über zwölf Seiten vertiefte Fragen gestellt, habe die Antworten jedoch nicht in ihrer Beurteilung erwähnt, sondern sich lediglich auf die teilweise unbedeutenden Widersprüche zur knappen Befragung zur Person beschränkt. Im Übrigen sei der Beschwerdeführer illegal aus Eritrea ausgereist und es bestünde zudem die Gefahr einer Reflexverfolgung. So seien bereits sein (...) und sein (...) in der Schweiz als Flüchtlinge anerkannt. Schliesslich führe eine Wegweisung nach Eritrea zu einer Zwangsrekrutierung des Beschwerdeführers.</w:t>
      </w:r>
    </w:p>
    <w:p>
      <w:r>
        <w:rPr>
          <w:b/>
        </w:rPr>
        <w:t>E. 6.1</w:t>
      </w:r>
    </w:p>
    <w:p>
      <w:r>
        <w:t>Die Vorinstanz hat indes den Massstab des Glaubhaftmachens und der fehlenden Asylrelevanz nicht verkannt und auf den vorliegenden Fall korrekt angewendet. Ihre Schlussfolgerung ist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Die entsprechenden oberflächlich getätigten und nicht weiter vertieften Rügen sind unbegründet. Der Rechtsmitteleingabe gelingt es nicht aufzuzeigen, inwiefern die vorinstanzliche Verfügung Bundesrecht verletzen oder zu einer rechtsfehlerhaften Sachverhaltsfeststellung führen soll. Solches ist auch nicht ersichtlich.</w:t>
      </w:r>
    </w:p>
    <w:p>
      <w:r>
        <w:rPr>
          <w:b/>
        </w:rPr>
        <w:t>E. 6.2</w:t>
      </w:r>
    </w:p>
    <w:p>
      <w:r>
        <w:t>Nach Prüfung der Akten durch das Gericht ist in Übereinstimmung mit der Vorinstanz festzustellen, dass die Vorfluchtgründe des Beschwerdeführers den Anforderungen an das Glaubhaftmachen nicht standzuhalten vermögen, weshalb vorab auf die zutreffenden Erwägungen der Vorinstanz zu verweisen ist, die zum Schluss kam, dass die Aussagen des Beschwerdeführers zu den zentralen Elementen seiner Fluchtgeschichte diametral voneinander abweichen (hierzu E. 5.1). Es trifft zwar zu, dass einer Befragung zur Person nicht dieselbe Gewichtung wie einer Anhörung zukommt. Klare asylrelevante Aussagen, die in der Erstbefragung von den späteren Aussagen jedoch diametral voneinander abweichen, sind Widersprüche, die im Rahmen der Beweiswürdigung zu berücksichtigen sind (so bereits Entscheidungen und Mitteilungen der Schweizerischen Asylrekurskommission [EMARK] 1993/3 E. 3 S. 13). Zudem ist die vorliegende Befragung zur Person ausführlich ausgefallen. So wurden bereits in dieser zu den Asylgründen sowohl allgemeine als auch elf detaillierte Fragen gestellt (SEM-Akten, A4, S. 8, Ziff. 7.01-7.03). Die Richtig- und Vollständigkeit seiner Aussagen hat der Beschwerdeführer unterschriftlich bestätigt. Vor diesem Hintergrund besteht kein Anlass, die Aussagen aus der Befragung zur Person nicht in die Prüfung der Glaubhaftigkeit miteinzubeziehen. Die Beschwerdeausführungen sind nicht geeignet, zu einer von der Vorinstanz abweichenden Betrachtungsweise zu gelangen, zumal den vorinstanzlichen Erwägungen nichts Substanzielles entgegengehalten und lediglich am Wahrheitsgehalt der im vorinstanzlichen Verfahren geltend gemachten Vorbringen festgehalten wird. Vor dem Hintergrund einer möglichen Dienstentlassung nach fünf bis zehn Jahren und der unglaubhaft geschilderten Fluchtgeschichte, ist vorliegend davon auszugehen, dass der Beschwerdeführer entweder vom Dienst befreit oder regulär aus seiner Dienstpflicht entlassen wurde und erst danach ausgereist ist (Urteil des BVGer D-2311/2016 vom 17. August 2017 E. 12 i.V.m. E. 13.3 [als Referenzurteil publiziert]). Es ist somit festzustellen, dass der inzwischen (...) Beschwerdeführer seine behauptete Desertion weder nachweisen konnte noch glaubhaft gemacht hat.</w:t>
      </w:r>
    </w:p>
    <w:p>
      <w:r>
        <w:rPr>
          <w:b/>
        </w:rPr>
        <w:t>E. 6.3</w:t>
      </w:r>
    </w:p>
    <w:p>
      <w:r>
        <w:t>Auf Beschwerdeebene wird erstmals eine Reflexverfolgung des Beschwerdeführers aufgrund eines (...) und eines (...) geltend gemacht. Der (...) verliess Eritrea bereits im Jahr 2007 und der (...) hatte schon zu den angegebenen Ausreisezeitpunkten des Beschwerdeführers Probleme mit den Behörden. Nachteile im Zusammenhang mit diesen Verwandten machte der Beschwerdeführer im vorinstanzlichen Verfahren auch keine geltend. Mithin erweist sich die erst auf Beschwerdeebene geltend gemachte Reflexverfolgung als nachgeschoben, weshalb er daraus nichts zu seinen Gunsten abzuleiten vermag (so auch Urteil des BVGer D-7442/2016 vom 29. November 2018 E. 5.2). Die knappen und allgemeinen Beschwerdeausführungen zur Reflexverfolgung lassen keinen anderen Schluss zu (Beschwerde, S. 9, Ziff. 23). Der in diesem Zusammenhang gestellte Eventualantrag ist abzuweisen.</w:t>
      </w:r>
    </w:p>
    <w:p>
      <w:r>
        <w:rPr>
          <w:b/>
        </w:rPr>
        <w:t>E. 7.1</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(ebd.,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(ebd., E. 5.2). Diese zusätzlichen Anknüpfungspunkte sind nachzuweisen oder zumindest glaubhaft zu machen (Art. 7 Abs. 1 AsylG).</w:t>
      </w:r>
    </w:p>
    <w:p>
      <w:r>
        <w:rPr>
          <w:b/>
        </w:rPr>
        <w:t>E. 7.2</w:t>
      </w:r>
    </w:p>
    <w:p>
      <w:r>
        <w:t>Nachdem vorliegend festgestellt wurde, dass die Fluchtgeschichte des Beschwerdeführers unglaubhaft ausgefallen ist, liegt kein Anknüpfungspunkt im Sinne der neuen Rechtsprechung vor. Weitere Hinweise sind den Akten keine zu entnehmen.</w:t>
      </w:r>
    </w:p>
    <w:p>
      <w:r>
        <w:rPr>
          <w:b/>
        </w:rPr>
        <w:t>E. 7.3</w:t>
      </w:r>
    </w:p>
    <w:p>
      <w:r>
        <w:t>Die Vorinstanz hat folglich zu Recht das Vorliegen sowohl von Vorflucht- als auch von Nachfluchtgründen verneint und das Asylgesuch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9.2.2</w:t>
      </w:r>
    </w:p>
    <w:p>
      <w:r>
        <w:t>Die Frage der Zulässigkeit des Wegweisungsvollzugs bei anstehender Einziehung in den eritreischen Nationaldienst - sollte der Beschwerdeführer tatsächlich den Dienst noch nicht absolviert haben - ist vom Bundesverwaltungsgericht inzwischen in einem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9.2.2.1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9.2.2.2</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9.2.3</w:t>
      </w:r>
    </w:p>
    <w:p>
      <w:r>
        <w:t>Weitere Gründe für die Annahme der Unzulässigkeit des Wegweisungsvollzugs ergeben sich weder aus den Akten noch aus der Beschwerde. Vor dem Hintergrund der seit Eingabe der Beschwerde ergangenen neuen Rechtsprechung des Bundesverwaltungsgerichts ist auf die Beschwerdeausführungen zur Unzulässigkeit des Wegweisungsvollzugs inklusive Verweise auf die Rechtsprechung und Literatur nicht weiter einzugehen. Der Wegweisungsvollzug ist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9.3.2</w:t>
      </w:r>
    </w:p>
    <w:p>
      <w:r>
        <w:t>Vorliegend sind keine besonderen Umstände ersichtlich, die es als wahrscheinlich erscheinen liessen, der Beschwerdeführer könnte im Falle einer Rückkehr nach Eritrea in eine existentiell bedrohliche Situation geraten. Der junge und gesunde Beschwerdeführer verfügt über Schulbildung, Berufserfahrung und ein intaktes Beziehungsnetz vor Ort (Eltern, Brüder, Schwestern, Tochter, Ehefrau und deren Familie, z. B. SEM-Akten, A4, S. 5 und A13, S. 3). Auf Beschwerdeebene wird dem nichts entgegengestellt.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Es erweist sich somit, dass gemäss der aktualisierten Lagebeurteilung des Bundesverwaltungsgerichts der Vollzug der Wegweisung des Beschwerdeführers nach Eritrea als zumutbar zu erachten ist.</w:t>
      </w:r>
    </w:p>
    <w:p>
      <w:r>
        <w:rPr>
          <w:b/>
        </w:rPr>
        <w:t>E. 9.4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9.5</w:t>
      </w:r>
    </w:p>
    <w:p>
      <w:r>
        <w:t>Die Vorinstanz hat den Vollzug demnach zu Recht als zulässig, zumutbar und möglich erachtet. Damit fällt die Anordnung einer vorläufigen Aufnahme ausser Betracht (Art. 83 Abs. 1-4 AIG). Der Subeventualantrag ist abzuweisen.</w:t>
      </w:r>
    </w:p>
    <w:p>
      <w:r>
        <w:rPr>
          <w:b/>
        </w:rPr>
        <w:t>E. 10</w:t>
      </w:r>
    </w:p>
    <w:p>
      <w:r>
        <w:t>Aus diesen Erwägungen ergibt sich, dass die angefochtene Verfügung Bundesrecht nicht verletzt und auch sonst nicht zu beanstanden ist (Art. 106 AsylG und Art. 49 VwVG). Die Beschwerde ist abzuweisen.</w:t>
      </w:r>
    </w:p>
    <w:p>
      <w:r>
        <w:rPr>
          <w:b/>
        </w:rPr>
        <w:t>E. 11</w:t>
      </w:r>
    </w:p>
    <w:p>
      <w:r>
        <w:t>Bei diesem Ausgang des Verfahrens wären die Verfahrenskosten grundsätzlich dem Beschwerdeführer aufzuerlegen (Art. 63 Abs. 1 VwVG). Da ihm jedoch mit Zwischenverfügung vom 20. Dezember 2017 die unentgeltliche Rechtspflege im Sinne von Art. 65 Abs. 1 VwVG gewährt wurde und davon auszugehen ist, dass er nach wie vor bedürftig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