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E-657/2020 vom 13. Februar 2020</w:t>
      </w:r>
    </w:p>
    <w:p>
      <w:r>
        <w:t>Bundesverwaltungsgericht, 2020-02-13, DE</w:t>
      </w:r>
    </w:p>
    <w:p>
      <w:r>
        <w:rPr>
          <w:b/>
        </w:rPr>
        <w:t xml:space="preserve">Quelle: </w:t>
      </w:r>
      <w:r>
        <w:t>https://mcp.opencaselaw.ch/entscheid/bvger_E-657_2020</w:t>
      </w:r>
    </w:p>
    <w:p>
      <w:r>
        <w:t>FR: TAF E-657/2020 du 13 février 2020</w:t>
      </w:r>
    </w:p>
    <w:p>
      <w:r>
        <w:t>IT: TAF E-657/2020 del 13 febbraio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3 AsylG und Art. 52 Abs. 1 VwVG) ist einzutreten.</w:t>
      </w:r>
    </w:p>
    <w:p>
      <w:r>
        <w:rPr>
          <w:b/>
        </w:rPr>
        <w:t>E. 1.2</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5</w:t>
      </w:r>
    </w:p>
    <w:p>
      <w:r>
        <w:t>In der Beschwerde werden formelle Rügen erhoben. Diese sind vorab zu beurteilen, da sie allenfalls geeignet wären, eine Kassation der vorinstanzlichen Verfügung zu bewirken.</w:t>
      </w:r>
    </w:p>
    <w:p>
      <w:r>
        <w:rPr>
          <w:b/>
        </w:rPr>
        <w:t>E. 5.1</w:t>
      </w:r>
    </w:p>
    <w:p>
      <w:r>
        <w:t>In der Rechtsmitteleingabe macht der Beschwerdeführer in den Beschwerdeanträgen Ziff. 1-3 geltend, das SEM habe das Mehrfachgesuch materiell geprüft, weshalb der Entscheid zu Unrecht als Nichteintretensentscheid ergangen sei und auch das Dispositiv und die Rechtsmittelbelehrung unrichtig seien. Dieses Vorgehen resultiere in einer unzulässigen Verkürzung der Beschwerdefrist, da bei materiellen Entscheiden eine Frist von 30 Tagen gelten müsse. Die angefochtene Verfügung müsse schon wegen dieses Formfehlers kassiert werden. In diesem Zusammenhang verweist der Rechtsvertreter auf das Urteil E-5758/2019 vom 29. November 2019, in welchem das Bundesverwaltungsgericht bei einer identischen Konstellation festgehalten habe, dass die Verfügung in Form eines Nichteintre-tensentscheids nicht korrekt gewesen sei.</w:t>
      </w:r>
    </w:p>
    <w:p>
      <w:r>
        <w:rPr>
          <w:b/>
        </w:rPr>
        <w:t>E. 5.1.1</w:t>
      </w:r>
    </w:p>
    <w:p>
      <w:r>
        <w:t>Das Bundesverwaltungsgericht folgt dieser Einschätzung nicht. Im vom Beschwerdeführer zitierten Urteil wurde ausgeführt, dass sich die Vor-instanz im Rahmen der Prüfung des Flüchtlingspunktes eingehend mit einem Arztzeugnis, dessen Eignung als Beweismittel im Zusammenhang mit den vorgebrachten Misshandlungen, der exilpolitischen Tätigkeit des Beschwerdeführers und der Lage im Herkunftsland auseinandergesetzt hatte (vgl. Urteil E-5758/2019 vom 29. November 2019 E. 7.3). Der vorliegende Fall ist jedoch anders gelagert. Die Vorinstanz hat in ihrem Entscheid vom 20. Januar 2020 sehr deutlich gemacht, dass sie die Ausführungen im Mehrfachgesuch als zu allgemein und zu wenig in Bezug zum Einzelfall des Beschwerdeführers gesetzt erachtete, als dass sie ein erneutes und gehörig begründetes zweites Asylgesuch zu begründen vermochten (vgl. Ziff. IV des angefochtenen Entscheids). Weitere Einlassungen in Bezug auf den Einzelfall und die angeführte Dokumentation enthält die Verfügung nicht. Insofern hat sich die Vorinstanz nicht materiell mit den Vorbringen auseinandergesetzt, sondern sich nur in allgemein gehaltener Weise geäussert. Für das Beschwerdevorbringen, welches insbesondere unter Ziff. 4.2 der Beschwerde thematisiert wurde, und gemäss dem die Vorin- stanz für ihre Verfügung ein falsches Dispositiv und eine falsche Rechtsmittelbelehrung sowie eine zu kurze Beschwerdefrist gewählt habe, sind keine Hinweise ersichtlich. Nach diesen Erwägungen ist die gewählte Erledigungsform des Nichteintretensentscheids verfahrensrechtlich nicht zu beanstanden, zumal die Vorinstanz praxisgemäss auf unbegründete Mehrfachgesuche gemäss Art. 111c AsylG nicht eintreten muss (vgl. BVGE 2014/39 E. 7).</w:t>
      </w:r>
    </w:p>
    <w:p>
      <w:r>
        <w:rPr>
          <w:b/>
        </w:rPr>
        <w:t>E. 5.1.2</w:t>
      </w:r>
    </w:p>
    <w:p>
      <w:r>
        <w:t>Der Antrag auf Erlass einer Zwischenverfügung mit Ansetzung einer neuen Beschwerdefrist ist nach dem oben Gesagten abzuweisen. Gleiches gilt für den Antrag auf Ansetzung einer Frist zur Einreichung einer Beschwerdeergänzung.</w:t>
      </w:r>
    </w:p>
    <w:p>
      <w:r>
        <w:rPr>
          <w:b/>
        </w:rPr>
        <w:t>E. 5.2</w:t>
      </w:r>
    </w:p>
    <w:p>
      <w:r>
        <w:t>Nach dem Gesagten gehen auch die formellen Rügen der mangelhaften Eröffnung sowie der Unmöglichkeit einer rechtzeitigen, vollumfänglichen Anfechtung ins Leere, zumal die vorliegende Beschwerdeschrift hinreichend ausführlich ausgefallen ist.</w:t>
      </w:r>
    </w:p>
    <w:p>
      <w:r>
        <w:rPr>
          <w:b/>
        </w:rPr>
        <w:t>E. 5.3</w:t>
      </w:r>
    </w:p>
    <w:p>
      <w:r>
        <w:t>In der Beschwerdeschrift wird des Weiteren im Beschwerdebegehren Ziff. 5 eine Verletzung des rechtlichen Gehörs gerügt. Das SEM habe die Begründungspflicht verletzt und den Sachverhalt unvollständig und unrichtig abgeklärt. Vorliegend ist weder auf eine Verletzung der Begründungspflicht (vgl. BVGE 2016/9 E. 5.1) noch auf eine unrichtige oder unvollständige Sachverhaltsfeststellung (vgl. BVGE 2016/2 E. 4.3) zu schliessen. In Bezug auf die Begründungspflicht ist anzumerken, dass das SEM in seiner Verfügung hinreichend darlegt, wieso es das Mehrfachgesuch für unzureichend begründet hält. Die Verfügung des SEM enthält auch - im angemessenen Rahmen der Begründung eines Nichteintretensentscheids, in welchem gerade keine materielle Prüfung stattfinden soll (vgl. E. 5.1.1) - eine Darstellung des Sachverhalts, die genügend ist, um nachvollziehen zu können, weshalb das SEM die als «neu» bezeichneten Vorbringen des Beschwerdeführers als nicht genügend individualisiert auf seinen Einzelfall erachtete, als dass es auf das Gesuch hätte eintreten müssen. Die vorgebrachten formellen Rügen sind nicht begründet.</w:t>
      </w:r>
    </w:p>
    <w:p>
      <w:r>
        <w:rPr>
          <w:b/>
        </w:rPr>
        <w:t>E. 6.1</w:t>
      </w:r>
    </w:p>
    <w:p>
      <w:r>
        <w:t>Zur Begründung seiner Verfügung hielt das SEM im Wesentlichen fest, die allgemeinen Ausführungen zur Lage in der Herkunftsregion des Beschwerdeführers seien nicht geeignet, etwas an der Einschätzung in der Verfügung des SEM und im Urteil des Bundesverwaltungsgerichts im ordentlichen Verfahren zu ändern. Aus der Eingabe gehe kein persönlicher Bezug des Beschwerdeführers zu den geschilderten Ereignissen hervor. Er habe nicht hinreichend dartun können, dass sich die geschilderten Entwicklungen konkret in negativer Weise auf seine persönliche Situation auswirken könnten. Das Mehrfachgesuch erschöpfe sich im Wesentlichen darin, bereits bekannte Sachverhaltselemente, welche im ordentlichen Asylverfahren als nicht glaubhaft oder nicht asylrelevant erachtet worden seien, erneut darzulegen und daraus erneut ein Risikoprofil ableiten zu wollen. Das Mehrfachgesuch sei daher zu wenig begründet, weshalb darauf nicht einzutreten sei.</w:t>
      </w:r>
    </w:p>
    <w:p>
      <w:r>
        <w:rPr>
          <w:b/>
        </w:rPr>
        <w:t>E. 6.2</w:t>
      </w:r>
    </w:p>
    <w:p>
      <w:r>
        <w:t>In der Beschwerdeschrift wird ausgeführt, die neusten Entwicklungen, welche im Mehrfachgesuch ausführlich dargelegt und dokumentiert worden seien, hätten zu einer markanten Erhöhung der Gefährdungslage für zurückkehrende abgewiesene Asylgesuchsteller in die autonome kurdische Region im Nordirak geführt. Das SEM wäre gehalten gewesen, sämtliche bereits bekannten Risikofaktoren, welche der Beschwerdeführer aufweise, vor dieser neuen Lageanalyse zu würdigen.</w:t>
      </w:r>
    </w:p>
    <w:p>
      <w:r>
        <w:rPr>
          <w:b/>
        </w:rPr>
        <w:t>E. 7</w:t>
      </w:r>
    </w:p>
    <w:p>
      <w:r>
        <w:t>Das zentrale Beschwerdevorbringen, wonach im Mehrfachgesuch ein persönlicher Fallbezug zur aktuellen Lage in der autonomen kurdischen Region im Nordirak dargelegt worden sei, weshalb das Gesuch nicht als unbegründet gelten dürfe, ist nicht stichhaltig. So wiederholte der Beschwerdeführer lediglich in geraffter Form bereits bekannte Sachverhaltselemente, die bereits im ordentlichen Asylverfahren als nicht glaubhaft respektive nicht asylrelevant erachtet wurden. Daraus zieht er am Ende kurzerhand und ohne weitere Subsumption den Schluss, er sei aufgrund seines Profils gleich mehreren Risikogruppen zuzuordnen, obwohl mit Urteil des Bundesverwaltungsgerichts E-1361/2017 vom 27. März 2017 rechtskräftig festgestellt wurde, dass er keiner asylrelevanten Gefährdung ausgesetzt sei. Demnach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BVGE 2014/39 E. 7). Auch das Bundesverwaltungsgericht erachtet die mit dem Mehrfachgesuch eingereichte Dokumentation als sehr allgemein; es wurden verschiedenste Berichte über die Situation im Nordirak und die Interventionen des türkischen Militärs in Nordirak und Syrien vorgelegt; der Zusammenhang zum Beschwerdeführer wird - wie von der Vorinstanz richtig festgestellt - nicht ersichtlich.</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welche die Flüchtlingseigenschaft erfüllen. Da es dem Beschwerdeführer - wie rechtskräftig festgestellt ist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weiterhin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autonomen kurdischen Region im Nordirak lässt den Wegweisungsvollzug zum heutigen Zeitpunkt nicht als unzulässig erscheinen. An der in BVGE 2008/5 niedergelegten Einschätzung des Bundesverwaltungsgerichts, wonach der Vollzug der Wegweisung eines Kurden in dieses Gebiet nicht generell unzulässig sei, hält das Gericht weiterhin fest (vgl. etwa die Urteile des BVGer D-1477/2018 vom 10. August 2018 E. 7.3.4; E-5608/2018 vom 19. Dezember 2019 E. 7.2.4). Der Verweis des Beschwerdeführers auf das Urteil des EGMR in Sachen N.A. gegen Finnland (Nr. 25244/2018) vom 14. November 2018, ändert daran nichts; wie von der Vorinstanz zutreffend festgehalten, ist der dortige Sachverhalt in keiner Weise vergleichbar mit der Situation und dem Gefährdungsprofil des Beschwerdeführers. Auf die Ausführungen im angefochtenen Entscheid kann verwiesen werden. Der Vollzug erweist sich damit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In konstanter Praxis geht das Gericht davon aus, dass ein Wegweisungsvollzug in die autonomen kurdischen Provinzen im Nordirak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w:t>
      </w:r>
    </w:p>
    <w:p>
      <w:r>
        <w:rPr>
          <w:b/>
        </w:rPr>
        <w:t>E. 9.4.2</w:t>
      </w:r>
    </w:p>
    <w:p>
      <w:r>
        <w:t>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[IDPs]) besonderes Gewicht beizumessen ist (vgl. etwa Urteil des BVGer E-7215/2018 vom 12. Dezember 2019 E. 7.1 m.w.H.).</w:t>
      </w:r>
    </w:p>
    <w:p>
      <w:r>
        <w:rPr>
          <w:b/>
        </w:rPr>
        <w:t>E. 9.4.3</w:t>
      </w:r>
    </w:p>
    <w:p>
      <w:r>
        <w:t>Die Beschwerdeeingabe enthält keine stichhaltigen Informationen, weshalb der Vollzug der Wegweisung im Fall des Beschwerdeführers unzumutbar sein sollte. Auch im Mehrfachgesuch vom 19. November 2019 war lediglich pauschal behauptet worden, dass der Beschwerdeführer betagte Eltern habe, die nicht für ihn sorgen könnten, und dass seine Brüder ihn ebenfalls nicht aufnehmen könnten (vgl. act. [...]-1/16, Ziff. 6.2, S. 12 f.). Das Gericht geht davon aus, dass die im Urteil E-1361/2017 E. 9.4.2 getroffenen Aussagen weiterhin zutreffen, wonach der Beschwerdeführer, der aus B._______ stammt, dort über ein intaktes familiäres Beziehungsnetz verfügt, auf dessen Unterstützung er zählen kann. Er absolvierte eine Ausbildung im (...)bereich und hat in diesem Bereich nach eigenen Angaben erfolgreich geschäftet. Es ist kann somit davon ausgegangen werden, dass es ihm möglich sein wird, sich bei seiner Rückkehr in den Nordirak sowohl sozial als auch wirtschaftlich zu reintegrieren. Den Akten sind keine Anhaltspunkte für die Annahme zu entnehmen, dass er in eine existenzielle Notlage geraten könnte.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