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E-6571/2016 vom 2. November 2016</w:t>
      </w:r>
    </w:p>
    <w:p>
      <w:r>
        <w:t>Bundesverwaltungsgericht, 2016-11-02, DE</w:t>
      </w:r>
    </w:p>
    <w:p>
      <w:r>
        <w:rPr>
          <w:b/>
        </w:rPr>
        <w:t xml:space="preserve">Quelle: </w:t>
      </w:r>
      <w:r>
        <w:t>https://mcp.opencaselaw.ch/entscheid/bvger_E-6571_2016</w:t>
      </w:r>
    </w:p>
    <w:p>
      <w:r>
        <w:t>FR: TAF E-6571/2016 du 2 novembre 2016</w:t>
      </w:r>
    </w:p>
    <w:p>
      <w:r>
        <w:t>IT: TAF E-6571/2016 del 2 novembre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hat die Vorinstanz zu Recht festgehalten, dass kein Grund zur Annahme besteht, der Sachverhalt sei wegen der von der Hilfswerksvertretung beanstandeten Unsicherheiten der Dolmetscherin bei der Anhörung nicht korrekt erhoben worden. Der Beschwerdeführer bestätigte am Ende der Anhörung unterschriftlich, dass ihm das Protokoll Satz für Satz vorgelesen und in eine verständliche Sprache rückübersetzt worden sei, sowie dass dieses vollständig sei und seiner freien Äusserung entspreche (vgl. Akten SEM A11 S. 19). Dem Protokoll lassen sich im Übrigen auch keine Anhaltspunkte für massgebliche Verständigungsschwierigkeiten mit dem Befrager entnehmen. Der in der Beschwerdeeingabe erhobene Vorwurf, die vom SEM gerügten Widersprüche in den Vorbringen des Beschwerdeführers würden auf Übersetzungsfehlern beruhen, erweist sich in Anbetracht der klaren Diskrepanzen in seinen Aussagen als haltlos.</w:t>
      </w:r>
    </w:p>
    <w:p>
      <w:r>
        <w:rPr>
          <w:b/>
        </w:rPr>
        <w:t>E. 5.2</w:t>
      </w:r>
    </w:p>
    <w:p>
      <w:r>
        <w:t>Nach Überzeugung des Gerichts hat die Vorinstanz ferner zu Recht und mit zutreffender Begründung die angebliche Konvertierung des Beschwerdeführers zum christlichen Glauben sowie die Verfolgung durch die Behörden wegen seiner Teilnahme an einer christlichen Feier als unglaubhaft bezeichnet. Insbesondere fehlen ihm offenkundig selbst grundlegende Kenntnisse der Elemente des christlichen Glaubens und seine Schilderungen der religiösen Versammlungen mit seinen Freunden sind vage und realitätsfremd. Die Ausführungen in der Beschwerdeeingabe vermögen keine andere Einschätzung zu rechtfertigen. Insbesondere wäre gerade in Anbetracht der vom Beschwerdeführer vorgebrachten gravierenden Konsequenzen einer Konvertierung im Iran zu erwarten gewesen, dass er sich vor einem solchen Schritt nähere Kenntnisse über den christlichen Glauben verschafft hätte. Dass er von den iranischen Behörden als Anführer ihrer Gruppe betrachtet und aus diesem Grund sowie wegen der Organisation ihrer letzten Versammlung sowie seines Nichterscheinens vor Gericht mit der Hinrichtung rechnen müsse, erweist sich demnach als unbegründete Behauptung. Ebenso hat das Staatssekretariat dem vom Beschwerdeführer eingereichten Gerichtsdokument aus dem Jahre 2016 mit zutreffender Begründung jede Beweiskraft abgesprochen. Das Argument, er habe keine sozialen oder wirtschaftlichen Motive für seine Ausreise gehabt, erweist sich in Anbetracht dieser klaren Unglaubhaftigkeitsindizien als nicht stichhaltig.</w:t>
      </w:r>
    </w:p>
    <w:p>
      <w:r>
        <w:rPr>
          <w:b/>
        </w:rPr>
        <w:t>E. 5.3</w:t>
      </w:r>
    </w:p>
    <w:p>
      <w:r>
        <w:t>Im Weiteren bestätigt die Aussage des Beschwerdeführers in der Beschwerdeeingabe, er sei nach seiner Festnahme im Jahre 2014 nicht ausgereist, weil er danach keine Probleme mehr gehabt habe, die Feststellung der Vorinstanz, dass sich aus den von ihm nach seinen Angaben in den Jahren 2009 und 2014 erlittenen Verfolgungsmassnahmen durch die iranischen Behörden keine aktuelle begründete Furcht vor Verfolgung im Sinne von Art. 3 AsylG ableiten lässt. Demnach besteht auch kein Grund zur Annahme einer dem Beschwerdeführer drohenden Reflexverfolgung wegen des früheren politischen Engagements seines Onkels; der in der Beschwerdeeingabe gestellte Antrag auf Durchführung nährerer Abklärungen hinsichtlich seines Onkels ist demnach abzuweisen.</w:t>
      </w:r>
    </w:p>
    <w:p>
      <w:r>
        <w:rPr>
          <w:b/>
        </w:rPr>
        <w:t>E. 5.4</w:t>
      </w:r>
    </w:p>
    <w:p>
      <w:r>
        <w:t>Zusammenfassend ist somit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Sodann sprechen auch keine individuellen Gründe gegen die Zumutbarkeit der Wegweisung des Beschwerdeführers in den Iran. Der junge und - soweit aktenkundig - gesunde Beschwerdeführer verfügt im Iran über eine familiäres und soziales Beziehungsnetz, hat eine gute Schulbildung und Berufserfahrung. Nach dem Gesagten erweist sich der Vollzug der Wegweisung auch als zumutbar.</w:t>
      </w:r>
    </w:p>
    <w:p>
      <w:r>
        <w:rPr>
          <w:b/>
        </w:rPr>
        <w:t>E. 7.6</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Antrag auf Befreiung von der Kostenvorschusspflicht ist mit dem vorliegenden Direktentscheid gegenstandslos geworden.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Antrag auf Gewährung der unentgeltlichen Prozessführung gemäss Art. 65 Abs. 1 VwVG ist abzuweisen, nachdem die Rechtsbegehren sich als aussichtslos erwiesen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