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E-6570/2015 vom 5. November 2015</w:t>
      </w:r>
    </w:p>
    <w:p>
      <w:r>
        <w:t>Bundesverwaltungsgericht, 2015-11-05, DE</w:t>
      </w:r>
    </w:p>
    <w:p>
      <w:r>
        <w:rPr>
          <w:b/>
        </w:rPr>
        <w:t xml:space="preserve">Quelle: </w:t>
      </w:r>
      <w:r>
        <w:t>https://mcp.opencaselaw.ch/entscheid/bvger_E-6570_2015</w:t>
      </w:r>
    </w:p>
    <w:p>
      <w:r>
        <w:t>FR: TAF E-6570/2015 du 5 novembre 2015</w:t>
      </w:r>
    </w:p>
    <w:p>
      <w:r>
        <w:t>IT: TAF E-6570/2015 del 5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(beziehungsweise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zumal der Eingabe der Beschwerdeführenden genügend klare, sinngemässe Rechtsbegehren sowie deren Begründung zu entnehmen sind und ohne Weiteres darüber befunden werden kann.</w:t>
      </w:r>
    </w:p>
    <w:p>
      <w:r>
        <w:rPr>
          <w:b/>
        </w:rPr>
        <w:t>E. 1.4</w:t>
      </w:r>
    </w:p>
    <w:p>
      <w:r>
        <w:t>Die Beschwerde ist fristgerecht (vgl. Bst. F und G) und in der Form akzeptiert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nach dem Gesagten einzutreten.</w:t>
      </w:r>
    </w:p>
    <w:p>
      <w:r>
        <w:rPr>
          <w:b/>
        </w:rPr>
        <w:t>E. 1.5</w:t>
      </w:r>
    </w:p>
    <w:p>
      <w:r>
        <w:t>Gestützt auf Art. 33a Abs. 2 VwVG i.V.m. Art. 6 AsylG ergeht der vorliegende Entscheid in deutscher Sprache.</w:t>
      </w:r>
    </w:p>
    <w:p>
      <w:r>
        <w:rPr>
          <w:b/>
        </w:rPr>
        <w:t>E. 1.6</w:t>
      </w:r>
    </w:p>
    <w:p>
      <w:r>
        <w:t>Die Beschwerde ist im Verfahren einzelrichterlicher Zuständigkeit mit Zustimmung eines zweiten Richters zu behandeln, weil sie sich im Ergeb­nis als offensichtlich unbegründet erweist (Art. 111 Bst. e AsylG). Angesichts der offensichtlichen Unbegründetheit ist der Beschwerdeentscheid nur summarisch zu begründen (Art. 111a Abs. 2 AsylG) und auf die Durchführung des Schriftenwechsels wird verzichtet (Art. 111a Abs. 1 AsylG).</w:t>
      </w:r>
    </w:p>
    <w:p>
      <w:r>
        <w:rPr>
          <w:b/>
        </w:rPr>
        <w:t>E. 2</w:t>
      </w:r>
    </w:p>
    <w:p>
      <w:r>
        <w:t>Die Kognition des Bundesverwaltungsgerichts und die zulässigen Rügen richten sich im Asylbereich nach Art. 106 Abs. 1 AsylG (zur Frage der Auswirkung der Streichung von aArt. 106 Abs.1 Bst. c AsylG [Beschwerdegrund der Unangemessenheit] auf das Beschwerdeverfahren in Ausland-Asylverfahren, vgl. Urteil des Bundesverwaltungsgerichts BVGE 2015/2 E. 4 ff.).</w:t>
      </w:r>
    </w:p>
    <w:p>
      <w:r>
        <w:rPr>
          <w:b/>
        </w:rPr>
        <w:t>E. 3</w:t>
      </w:r>
    </w:p>
    <w:p>
      <w:r>
        <w:t>Die Möglichkeit, im Ausland ein Asylgesuch bei einer Schweizer Vertretung zu stellen, ist mit Wirkung ab 29. September 2012 aufgehoben worden, wobei für Asylgesuche, welche - wie vorliegend - vor dem Inkrafttreten gestellt worden sind, die aArt. 12, 19, 20, 41 Abs. 2, Art. 52 und 68 in der bisherigen Fassung des Asylgesetzes gelten (Übergangsbestimmung zur Änderung vom 28. September 2012; AS 2012 5359).</w:t>
      </w:r>
    </w:p>
    <w:p>
      <w:r>
        <w:rPr>
          <w:b/>
        </w:rPr>
        <w:t>E. 4.1</w:t>
      </w:r>
    </w:p>
    <w:p>
      <w:r>
        <w:t>Gemäss aArt. 19 Abs. 1 AsylG kann ein Asylgesuch im Ausland bei einer schweizerischen Vertretung gestellt werden, welche es mit einem Bericht an das SEM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vgl. BVGE 2011/10 E. 3.3, mit Hinweisen auf die bisherige Praxis). Asyl - und damit die Einreise in die Schweiz - ist zu verweigern, wenn keine Hinweise auf eine aktuelle Gefährdung im Sinn von Art. 3 AsylG vorliegen oder der Person zuzumuten ist, sich in einem Drittstaat um Aufnahme zu bemühen (aArt. 52 Abs. 2 AsylG).</w:t>
      </w:r>
    </w:p>
    <w:p>
      <w:r>
        <w:rPr>
          <w:b/>
        </w:rPr>
        <w:t>E. 4.2</w:t>
      </w:r>
    </w:p>
    <w:p>
      <w:r>
        <w:t>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Nach Durchsicht der Akten kommt das Bundesverwaltungsgericht in Übereinstimmung mit der Vorinstanz zum Schluss, dass es den Beschwerdeführenden nicht gelungen ist, eine aktuelle Gefährdung im Sinne von Art. 3 AsylG aufzuzeigen, welche die Bewilligung der Einreise in die Schweiz rechtfertigen würde. Zwar ist nicht in Abrede zu stellen, dass aufgrund möglicher finanzieller Engpässe sowie des geltend gemachten Traumas im Zusammenhang mit der Ermordung des Ehemannes beziehungsweise Vaters, welches sie von einer Rückkehr nach E._______ abhält, die Situation der Beschwerdeführenden nicht einfach ist. Dennoch bestehen vorliegend keine konkreten Anhaltspunkte für die Annahme, dass sie einer akuten Gefährdung ausgesetzt sind. Wie die Vorinstanz zu Recht festhielt, wurden die noch in den vorgängigen schriftlichen Eingaben vorgetragenen Behelligungen in der Anhörung nicht mehr geltend gemacht. Somit erscheint ihnen ein Verbleib in Colombo, wo sie seit rund [vielen] Jahren leben würden, weiterhin zumutbar. Ausserdem lebe gemäss eigenen Angaben die Mutter beziehungsweise Grossmutter der Beschwerdeführenden noch in E._______, ohne dass ihr jemals konkret etwas widerfahren sei (A10/7 S. 4). Ferner sind den Schilderungen der Beschwerdeführenden auch keine Hinweise dafür zu entnehmen, dass sie an Leib und Leben bedroht sind. Im Übrigen werden sie nach Möglichkeit von den Verwandten in der Schweiz finanziell unterstützt. Schliesslich vermag auch die Rechtsmitteleingabe keine neuen Erkenntnisse im Zusammenhang mit konkreten Vorfällen aufzuzeigen.</w:t>
      </w:r>
    </w:p>
    <w:p>
      <w:r>
        <w:rPr>
          <w:b/>
        </w:rPr>
        <w:t>E. 5.2</w:t>
      </w:r>
    </w:p>
    <w:p>
      <w:r>
        <w:t>Aufgrund dieser Sachlage ist das Vorliegen einer einreiserelevanten Gefährdung sowie eine allfällige Schutzbedürftigkeit im Sinn von Art. 3 AsylG zu verneinen. Die Vorinstanz hat den Beschwerdeführenden demnach zu Recht die Erteilung der Einreisebewilligung verweigert und ihre Asylgesuche abgelehnt.</w:t>
      </w:r>
    </w:p>
    <w:p>
      <w:r>
        <w:rPr>
          <w:b/>
        </w:rPr>
        <w:t>E. 6</w:t>
      </w:r>
    </w:p>
    <w:p>
      <w:r>
        <w:t>Aus diesen Erwägungen ergibt sich, dass die angefochtene Verfügung Bundesrecht nicht verletzt, den rechtserheblichen Sachverhalt richtig und vollständig feststellt und auch sonst nicht zu beanstanden ist (Art. 106 Abs. 1 AsylG). Die Beschwerde ist nach dem Gesagten abzuweisen.</w:t>
      </w:r>
    </w:p>
    <w:p>
      <w:r>
        <w:rPr>
          <w:b/>
        </w:rPr>
        <w:t>E. 7</w:t>
      </w:r>
    </w:p>
    <w:p>
      <w:r>
        <w:t>Bei diesem Ausgang des Verfahrens wären die Kosten den Beschwerdeführenden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