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E-6569/2018 vom 17. Dezember 2018</w:t>
      </w:r>
    </w:p>
    <w:p>
      <w:r>
        <w:t>Bundesverwaltungsgericht, 2018-12-17, DE</w:t>
      </w:r>
    </w:p>
    <w:p>
      <w:r>
        <w:rPr>
          <w:b/>
        </w:rPr>
        <w:t xml:space="preserve">Quelle: </w:t>
      </w:r>
      <w:r>
        <w:t>https://mcp.opencaselaw.ch/entscheid/bvger_E-6569_2018</w:t>
      </w:r>
    </w:p>
    <w:p>
      <w:r>
        <w:t>FR: TAF E-6569/2018 du 17 décembre 2018</w:t>
      </w:r>
    </w:p>
    <w:p>
      <w:r>
        <w:t>IT: TAF E-6569/2018 del 17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4</w:t>
      </w:r>
    </w:p>
    <w:p>
      <w:r>
        <w:t>Insgesamt erachtet die Vorinstanz die Beziehung des Beschwerdeführers zu seiner Cousine väterlicherseits, die damit zusammenhängende Bedrohungslage sowie seine Distanzierung vom Islam als unglaubhaft. Die Vor-instanz hält fest, der Beschwerdeführer habe diese Vorbringen anlässlich der Befragung zur Person nicht erwähnt, was angesichts der Tragweite seiner Befürchtungen nicht plausibel erscheine. Seine Aussagen seien ausserdem verallgemeinernd, nachgeschoben und nicht substantiiert. Der Vorinstanz ist zuzustimmen, dass die Aussagen des Beschwerdeführers betreffend die Aufdeckung der Liebesbeziehung zwischen ihm und seiner Cousine der persönliche Bezug fehlt. Anlässlich der Anhörung sagte er aus, der Vater seiner Cousine habe das Telefon seiner Cousine entdeckt (act. A11/22 F135). Später erklärte er dagegen, sie seien vom Vater anlässlich eines Telefongespräches erwischt worden, woraufhin der Beschwerdeführer von diesem am Telefon beschimpft worden sei (act. A11/22 F138 f.). Vorliegend handelt es sich offensichtlich um zwei Varianten und nicht um eine schlüssige Erklärung des Geschehenen. Im Weiteren besteht ein Widerspruch, indem der Beschwerdeführer einerseits anlässlich der Anhörung aussagte, seine Eltern seien, nachdem sie von der Beziehung erfahren hätten, zwei oder drei Mal zum Vater seiner Cousine gegangen, um für den Beschwerdeführer um die Hand seiner Cousine anzuhalten (act. A11/22 F125). Später erklärte er hingegen, sein Vater habe um die Hand seiner Cousine angehalten (act. A11/22 F143). Der Beschwerdeführer machte zudem erst bei der Anhörung geltend, er habe aufgrund seiner Abkehr vom Islam nicht nur private, sondern auch berufliche Probleme gehabt, insbesondere durch den Verlust verschiedener Arbeitsstellen, was zuletzt dazu geführt haben soll, dass er sich bei den Peschmerga registriert habe (act. A11/22 F60 ff.). Darüber hinaus sei er durch den Onkel väterlicherseits sowie seinen Vater in eine unmittelbare Bedrohungssituation geraten, weshalb er illegal aus dem Irak ausgereist sei. Die Vorinstanz hat zu Recht festgestellt, dass die Vorgehensweise des Beschwerdeführers nicht nachvollziehbar ist, diese für seine Flucht hauptsächlichen Gründe anlässlich der Befragung zur Person nicht einmal ansatzweise zu erwähnen. Seine Begründung auf Beschwerdeebene, er habe diese nicht erwähnen können, da die Befragung zur Person summarischen Charakter gehabt habe und ihm keine Gelegenheit gegeben worden sei, sich dazu zu äussern, ist unbehelflich. Die befragende Person gab dem Beschwerdeführer durch gezielte Rückfragen anlässlich der Befragung zur Person die Möglichkeit, sonstige asylrelevante Gründe oder Zusatzbemerkungen darzulegen. Der Beschwerdeführer gab indes zu Protokoll, er habe keine weiteren Gründe und keine Zusatzbemerkungen (act. A4/11 7.01, 7.03, 9.01). Darüber hinaus tragen seine Aussagen hinsichtlich des Verbleibs seiner Identitätskarte ebenfalls nicht zu seiner persönlichen Glaubwürdigkeit bei. Anlässlich der Befragung zur Person gab er an, seine Identitätskarte befinde sich zu Hause in E._______ (act. A4/11 4.03). Bei der Anhörung erklärte er hingegen, seine Identitätskarte sei beim Schlepper in Istanbul (act. A11/22 F4 ff.). Mit dem Widerspruch konfrontiert, führte der Beschwerdeführer einzig aus, er habe anlässlich der Befragung zur Person bereits gesagt, er könne dieses Dokument nicht beschaffen, da es sich beim Schlepper befinde (act. A11/22 F8). Selbst wenn die Vorbringen als glaubhaft eingestuft würden, so sind sie nicht asylrelevant. Bei der Bedrohung durch seinen Onkel väterlicherseits wegen seiner Beziehung mit dessen Tochter handelt es sich um einen innerfamiliären Konflikt. Entgegen der Darstellung des Beschwerdeführers ist der Wille und die Fähigkeit der kurdischen Behörden in der Autonomen Region Kurdistans, den Einwohnern der drei nordirakischen Provinzen Schutz vor allfälliger Verfolgung zu gewähren, nach wie vor gegeben (vgl. BVGer E-1657/2017 vom 27. Juli 2018 E.5.2 m.H.a. BVGE 2008/4 und zu den Voraussetzungen der Schutztheorie: BVGE 2011/51 E. 7 f. m.w.H.). Im Urteil BVGE 2008/4 bringt das Bundesverwaltungsgericht zwar gewisse Vorbehalte in Bezug auf den Schutzwillen der nordirakischen Justizorgane im Zusammenhang mit Ehrenmorden an (vgl. E. 6.7). Zum einen bezieht sich aber der Vorbehalt in erster Linie auf direkt von einem Ehrenmord bedrohte Frauen, zum anderen ist vorliegend deutlich hervorzuheben, dass der Beschwerdeführer die geäusserte Befürchtung des Ehrenmords, abgesehen von seinen wenig substantiierten Angaben, mit nichts zu begründen vermag. Sodann gehen aus den Akten auch keine Hinweise hervor, warum es dem Beschwerdeführer individuell nicht zumutbar wäre, sich an die nordirakischen Behörden zu wenden. Im Übrigen liegen keine begründeten Hinweise auf eine Absenz des Schutzwillens der nordirakischen Behörden vor. Ferner kann davon ausgegangen werden, dass der Beschwerdeführer allein durch den anlässlich der Befragung zur Person geltend gemachten Austritt aus den Peschmerga (act. A11/22 F78) in seinem Heimatland keinen flüchtlingsrechtlich relevanten Verfolgungsmassnahmen ausgesetzt sein wird. Der Beschwerdeführer war gemäss seinen eigenen Aussagen anlässlich der Anhörung bei den Peschmerga lediglich freiwillig im Hintergrund tätig; namentlich half er in der Küche und versorgte Verletzte (act. A11/22 F76). Er machte auch nicht geltend, dass das unangekündigte Fernbleiben vom Dienst für ihn oder seine Familie zu Konsequenzen geführt habe (act. A11/22 F162 ff.). Zusammenfassend kann festgehalten werden, dass es dem Beschwerdeführer nicht gelungen ist, aufgrund seiner Distanzierung vom Islam und der Beziehung zu seiner Cousine eine Verfolgung durch Dritte, namentlich durch den Vater seiner Cousine und seinen eigenen Vater, glaubhaft zu machen. Es liegen auch keine weiteren konkreten Anhaltspunkte vor für eine begründete Furcht vor zukünftiger Verfolgung im Sinne von Art. 3 Abs. 1 AsylG. Die Vorinstanz hat somit zu Recht sein Asylgesuch abgelehnt.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der nordirakischen Autonomen Region Kurdistan (ARK), zu welcher die Provinz C._______ gehört, herrscht keine Situation allgemeiner Gewalt (vgl. Referenzurteil des BVGer E-3737/2015 vom 14. Dezember 2015 E. 7 und unter anderen die Urteile E-6504/2018 vom 11. Dezember 2018, D-1779/2016 vom 6. Dezember 2018, E-2036/2016 vom 21. November 2018). Beim Beschwerdeführer handelt es sich um einen alleinstehenden, gesunden, heute (...)-jährigen Mann, der seit dem Jahr 2000 bis zur Ausreise mit seiner Familie in der Provinz C._______ gelebt hat. Nebst seinen Eltern verfügt er über eine Vielzahl von Geschwistern und Verwandten in der Heimatregion. Es kann von einem nach wie vor tragfähigen Beziehungsnetz ausgegangen werden, zumal die Verfolgungsvorbringen in Bezug auf den vermeintlich drohenden Ehrenmord als unglaubhaft erachtet wurden. Gemäss eigenen Angaben hat der Beschwerdeführer einen Beruf bei einer Ölfirma erlernt und war für verschiedene Arbeitgeber tätig (act. A11/22 F40, F49, F63 ff., F68 ff.). Zudem setzten sich die Mutter sowie der Onkel mütterlicherseits für ihn ein. Er hielt sich häufig bei seinem Onkel mütterlicherseits auf (act. A11/22 F103 ff., F166), auch in den letzten beiden Tagen vor seiner Ausreise (act. A11/22 F146). Der Onkel organisierte und finanzierte ihm die Ausreise (act. A11/22 F14, F48, F172) und ist Inhaber einer Ölfirma, bei welcher der Bruder des Beschwerdeführers arbeitet (act. A11/22 F49 f.). Im Weiteren ist auch davon auszugehen, dass der Beschwerdeführer über einen Freundeskreis in seinem Heimatort verfügt, zumal er seit mehreren Jahren dort wohnte und arbeitete. Es ist anzunehmen, dass er nach seiner Rückkehr in seine Heimat Unterstützung erhalten und in der Lage sein wird, sich eine wirtschaftliche Existenzgrundlage aufzubauen. Nach dem Gesagten erweist sich der Vollzug der Wegweisung des Beschwerdeführers auch in individueller Hinsicht als zumutbar.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Rechtsbegehren erweisen sich als aussichtslos, weshalb das Gesuch um unentgeltliche Prozessführung ungeachtet einer allfälligen prozessualen Bedürftigkeit abzuweisen ist (Art. 65 Abs. 1 VwVG und Art. 110a Abs. 1 Bst. a AslG).</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