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E-6561/2014 vom 22. Mai 2015</w:t>
      </w:r>
    </w:p>
    <w:p>
      <w:r>
        <w:t>Bundesverwaltungsgericht, 2015-05-22, DE</w:t>
      </w:r>
    </w:p>
    <w:p>
      <w:r>
        <w:rPr>
          <w:b/>
        </w:rPr>
        <w:t xml:space="preserve">Quelle: </w:t>
      </w:r>
      <w:r>
        <w:t>https://mcp.opencaselaw.ch/entscheid/bvger_E-6561_2014</w:t>
      </w:r>
    </w:p>
    <w:p>
      <w:r>
        <w:t>FR: TAF E-6561/2014 du 22 mai 2015</w:t>
      </w:r>
    </w:p>
    <w:p>
      <w:r>
        <w:t>IT: TAF E-6561/2014 del 22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 Als subjektive Nachfluchtgründe gelten namentlich illegales Verlassen des Heimatlandes (sog. Republikflucht), Einreichung eines Asylgesuchs im Ausland oder aus Sicht der heimatlichen Behörden unerwünschte exilpolitische Betätigungen, wenn sie die Gefahr einer zukünftigen Verfolgung begründen. Durch Republikflucht zum Flüchtling wird, wer sich aufgrund der unerlaubten Ausreise mit Sanktionen seines Heimatlandes konfrontiert sieht, die bezüglich ihrer Intensität und der politischen Motivation des Staates ernsthafte Nachteile gemäss Art. 3 Abs. 2 AsylG darstellen. Personen mit subjektiven Nachfluchtgründen erhalten zwar gemäss Art. 54 AsylG kein Asyl, werden indes als Flüchtlinge vorläufig aufgenommen (vgl. Entscheidungen und Mitteilungen der Schweizerischen Asylrekurskommission [EMARK] 2006 Nr. 1 E. 6.1 m.w.H.).</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4</w:t>
      </w:r>
    </w:p>
    <w:p>
      <w:r>
        <w:t>In der Beschwerdeeingabe wurde der Antrag auf Aufhebung der angefochtenen Verfügung und Feststellung der Flüchtlingseigenschaft des Beschwerdeführers gestellt. In der Replik wurde sodann ausdrücklich festgehalten, dass eine Asylgewährung nicht beantragt werde. Demzufolge ist die Verfügung der Vorinstanz vom 6. Oktober 2014 im Asylpunkt (Dispositiv-Ziffer 2) in Rechtskraft erwachsen. Im Folgenden ist zu prüfen, ob der minderjährige Beschwerdeführer infolge illegaler Ausreise aus Eritrea im Falle einer Rückkehr dorthin aufgrund subjektiver Nachfluchtgründe befürchten müsste, ernsthaften Nachteilen im Sinne von Art. 3 AsylG ausgesetzt zu werden.</w:t>
      </w:r>
    </w:p>
    <w:p>
      <w:r>
        <w:rPr>
          <w:b/>
        </w:rPr>
        <w:t>E. 5.1</w:t>
      </w:r>
    </w:p>
    <w:p>
      <w:r>
        <w:t>Eritreische Staatsbürger, die illegal aus dem Land ausreisen, werden vom eritreischen Regime als Staatsfeinde angesehen und müssen im Falle einer Rückkehr mit drakonischen Strafen rechnen, mit denen das Regime der sinkenden Wehrbereitschaft und der Massenfluchtbewegung in der Bevölkerung entgegenzuwirken versucht. Ein legales Verlassen des Landes ist gemäss Art. 11 der "Proclamation No. 24/1992", welche die Ein- und Ausreise nach und aus Eritrea regelt, lediglich mit einem gültigen Reisepass und einem zusätzlichen Ausreisevisum möglich. In der Praxis werden Ausreisevisa seit mehreren Jahren nur unter sehr strengen Bedingungen und gegen Bezahlung hoher Geldbeträge an wenige, als loyal beurteilte Personen ausgestellt, wobei Kinder ab elf Jahren, Männer bis zum Alter von 54 Jahren und Frauen bis 47 Jahre grundsätzlich gänzlich von der Visumserteilung ausgeschlossen sind. Eine Ausreise ohne ein solches Visum ist illegal und wird vom eritreischen Staat als Zeichen politischer Opposition erachtet, was willkürliche Verhaftung und Bestrafung nach sich zieht (vgl. Urteil des Bundesverwaltungsgerichts D 6352/2012 vom 22. Juli 2014 E. 3.6.2 m.w.H.).</w:t>
      </w:r>
    </w:p>
    <w:p>
      <w:r>
        <w:rPr>
          <w:b/>
        </w:rPr>
        <w:t>E. 5.2</w:t>
      </w:r>
    </w:p>
    <w:p>
      <w:r>
        <w:t>Vorliegend gelingt es dem Beschwerdeführer nicht, subjektive Nachfluchtgründe infolge illegaler Ausreise glaubhaft zu machen. Wie die Vorinstanz zutreffend ausführte, fallen seine diesbezüglichen Ausführungen grösstenteils unsubstantiiert beziehungsweise uneinheitlich aus und sind teilweise nicht nachvollziehbar. Auch unter Berücksichtigung des Alters des Beschwerdeführers erscheinen die protokollierten Schilderungen des Reisewegs nicht geeignet, eine illegale Ausreise aus Eritrea glaubhaft zu machen. Namentlich stimmen seine Aussagen in Bezug auf den Zeitpunkt seiner Ausreise nicht überein. In der BzP nannte er als Ausreisedatum den 7. Juni 2013 (A7/12 S. 6) und erklärte, bis im Juni 2013 zur Schule gegangen zu sein (A7/12 S. 4). Im Rahmen der Anhörung gab er zwar ebenfalls zu Protokoll, bis im Juni 2013 die Schule besucht zu haben (A15/15 S. 2) und vermutlich am 7. Juni (das Jahr wisse er nicht mehr) ausgereist zu sein (A15/15 S. 6). Allerdings führte er auch aus, etwa einen Monat beziehungsweise drei Wochen nach dem Schulabschluss ausgereist zu sein (A15/15 S. 6), was jedoch nicht mit dem genannten Ausreisedatum in Einklang steht. Zudem fallen seine Ausführungen hinsichtlich der Reisekosten widersprüchlich aus (vgl. A15/15 S. 9 f.; A7/12 S. 8), weshalb sie nicht zu überzeugen vermögen. Sodann erscheint seine Aussage, er habe den Weg nach Äthiopien nicht gekannt und sei einfach losgegangen ohne zu wissen, wohin der Weg ihn führe, äusserst unrealistisch. Die Vorinstanz führte hierzu zutreffend aus, es mute durchaus unwahrscheinlich an, dass er als (...)-Jähriger zwei Tage lang - einzig in Begleitung eines Gleichaltrigen aus seinem Dorf - illegal durch Grenzgebiet marschiert sei, ohne dabei den Weg zu kennen. Auch der geltend gemachte Umstand, wonach er und sein Begleiter, als sie Licht gesehen und einen Generator gehört hätten, geradewegs darauf zugegangen seien, wo sie unmittelbar auf äthiopische Soldaten gestossen seien, ist nicht nachvollziehbar. Weshalb sich der Beschwerdeführer, obwohl er eigenen Angaben zufolge Angst gehabt habe, festgenommen zu werden, in eine solche Gefahr begeben sollte, konnte er im Übrigen selber nicht erklären (A15/15 S. 8). Ferner fallen seine Angaben, wann er nach seiner Ausreise erstmals wieder Kontakt zu seiner Familie aufgenommen habe, uneinheitlich aus. Während er in der BzP angab, er habe bereits im Flüchtlingscamp H._______ in Äthiopien über einen Landsmann den Kontakt hergestellt (A7/12 S. 8), erklärte er anlässlich der Anhörung, er habe den Landsmann im Sudan getroffen; dieser habe daraufhin seine Familie angerufen (A15/15 S. 10) beziehungsweise seine Familie habe ihn angerufen und gesagt, er solle den Beschwerdeführer suchen (A15/15 S. 11). Diese aufgeführten massiven Diskrepanzen in den Aussagen des Beschwerdeführers lösen sich - anders als in der Beschwerde behauptet - auch bei Durchsicht der Protokolle und in Würdigung der gesamten Aspekte grösstenteils nicht auf, weshalb wesentliche und überwiegende Umstände gegen die vorgebrachte Sachverhaltsdarstellung sprechen. Im Übrigen kann, um Wiederholungen zu vermeiden, auf die zutreffenden Ausführungen in der vorinstanzlichen Verfügung und Vernehmlassung verwiesen werden (vgl. oben Bst. B und E). Somit gelingt es dem Beschwerdeführer nicht aufzuzeigen, inwiefern auf subjektive Nachfluchtgründe infolge einer illegalen Ausreise geschlossen werden könnte. Die Vorinstanz geht davon aus, der Beschwerdeführer sei eritreischer Staatsangehöriger; indessen hat sie zu Recht festgestellt, die behauptete Herkunft aus B._______ und die Tatsache einer angeblichen illegalen Ausreise aus dem Land seien nicht glaubhaft geworden. An dieser Feststellung vermögen auch die Ausführungen auf Beschwerdestufe nichts zu ändern. Schliesslich geht auch die Rüge der Ungleichbehandlung fehl, da Flüchtlinge, die in der Schweiz vorläufig aufgenommen sind, im Gegensatz zum Beschwerdeführer eine illegale Ausreise glaubhaft aufzuzeigen vermochten.</w:t>
      </w:r>
    </w:p>
    <w:p>
      <w:r>
        <w:rPr>
          <w:b/>
        </w:rPr>
        <w:t>E. 5.3</w:t>
      </w:r>
    </w:p>
    <w:p>
      <w:r>
        <w:t>Zusammenfassend ist festzuhalten, dass nicht davon auszugehen ist, dass der Beschwerdeführer sein Heimatland illegal verlassen hat. Die Vorinstanz hat somit seine Flüchtlingseigenschaft sowie das Vorliegen subjektiver Nachfluchtgründe zu Recht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7.2</w:t>
      </w:r>
    </w:p>
    <w:p>
      <w:r>
        <w:t>Die Vorinstanz hat den Beschwerdeführer in der angefochtenen Verfügung vom 6. Oktober 2014 wegen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8</w:t>
      </w:r>
    </w:p>
    <w:p>
      <w:r>
        <w:t>Aus diesen Erwägungen ergibt sich, dass die angefochtene Verfügung Bundesrecht nicht verletzt und den rechtserheblichen Sachverhalt richtig sowie vollständig feststellt (Art. 106 AsylG). Die Beschwerde ist demnach abzuweisen.</w:t>
      </w:r>
    </w:p>
    <w:p>
      <w:r>
        <w:rPr>
          <w:b/>
        </w:rPr>
        <w:t>E. 9</w:t>
      </w:r>
    </w:p>
    <w:p>
      <w:r>
        <w:t>Bei diesem Ausgang des Verfahrens wären die Kosten dem Beschwerdeführer aufzuerlegen (Art. 63 Abs. 1 VwVG). Indessen wurde das Gesuch um Gewährung der unentgeltlichen Prozessführung mit Verfügung vom 19. November 2014 gutgeheissen. Aufgrund der Akten ist auch weiterhin von der prozessualen Bedürftigkeit des Beschwerdeführers auszugehen,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