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E-6559/2018 vom 3. Oktober 2019</w:t>
      </w:r>
    </w:p>
    <w:p>
      <w:r>
        <w:t>Bundesverwaltungsgericht, 2019-10-03, FR</w:t>
      </w:r>
    </w:p>
    <w:p>
      <w:r>
        <w:rPr>
          <w:b/>
        </w:rPr>
        <w:t xml:space="preserve">Quelle: </w:t>
      </w:r>
      <w:r>
        <w:t>https://mcp.opencaselaw.ch/entscheid/bvger_E-6559_2018</w:t>
      </w:r>
    </w:p>
    <w:p>
      <w:r>
        <w:t>FR: TAF E-6559/2018 du 3 octobre 2019</w:t>
      </w:r>
    </w:p>
    <w:p>
      <w:r>
        <w:t>IT: TAF E-6559/2018 del 3 ottobre 2019</w:t>
      </w:r>
    </w:p>
    <w:p>
      <w:pPr>
        <w:pStyle w:val="Heading2"/>
      </w:pPr>
      <w:r>
        <w:t>Regeste</w:t>
      </w:r>
    </w:p>
    <w:p>
      <w:r>
        <w:t>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2.1</w:t>
      </w:r>
    </w:p>
    <w:p>
      <w:r>
        <w:t>Les recourants n'ont pas contesté la décision du SEM du 16 octobre 2018 en tant qu'elle leur dénie la qualité de réfugié, rejette leur demande d'asile et prononce leur renvoi de Suisse. Partant, et sur ces points de son dispositif, cette décision a acquis l'autorité de chose décidée. L'objet du litige est circonscrit à la question de l'exécution du renvoi.</w:t>
      </w:r>
    </w:p>
    <w:p>
      <w:r>
        <w:rPr>
          <w:b/>
        </w:rPr>
        <w:t>E. 2.2</w:t>
      </w:r>
    </w:p>
    <w:p>
      <w:r>
        <w:t>En matière de droit des étrangers, le Tribunal a un plein pouvoir d'examen (cf. art. 49 PA en relation avec l'art. 112 al. 1 LEI ; voir aussi ATAF 2014/26 consid. 5 et 7.8).</w:t>
      </w:r>
    </w:p>
    <w:p>
      <w:r>
        <w:rPr>
          <w:b/>
        </w:rPr>
        <w:t>E. 2.3</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A l'appui de leur recours, les recourants ont fait valoir que l'exécution de leur renvoi était inexigible au sens de l'art. 83 al. 4 LEI, compte tenu des problèmes de santé de leur fils C_______ et du principe de l'intérêt supérieur de l'enfant ancré à l'art. 3 par. 1 CDE.</w:t>
      </w:r>
    </w:p>
    <w:p>
      <w:r>
        <w:rPr>
          <w:b/>
        </w:rPr>
        <w:t>E. 3.2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consid.7.6 et réf. jur.).</w:t>
      </w:r>
    </w:p>
    <w:p>
      <w:r>
        <w:rPr>
          <w:b/>
        </w:rPr>
        <w:t>E. 3.4</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2009/28 consid. 9.3.2 et réf. cit.). Cette pratique différenciée réalise de la sorte la prise en compte de l'intérêt supérieur de l'enfant, telle que prescrite par l'art. 3 par. 1 CDE.</w:t>
      </w:r>
    </w:p>
    <w:p>
      <w:r>
        <w:rPr>
          <w:b/>
        </w:rPr>
        <w:t>E. 3.5</w:t>
      </w:r>
    </w:p>
    <w:p>
      <w:r>
        <w:t>En outre, de jurisprudence constante, les difficultés socio-économiques auxquelles doit fait face la population locale ne suffisent pas en soi à réaliser une mise en danger concrète au sens de l'art. 83 al. 4 LEI (cf. notamment ATAF 2010/41 consid. 8.3.6).</w:t>
      </w:r>
    </w:p>
    <w:p>
      <w:r>
        <w:rPr>
          <w:b/>
        </w:rPr>
        <w:t>E. 3.6</w:t>
      </w:r>
    </w:p>
    <w:p>
      <w:r>
        <w:t>Selon une jurisprudence constante encore,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3.7</w:t>
      </w:r>
    </w:p>
    <w:p>
      <w:r>
        <w:t>Comme le Tribunal a déjà eu l'occasion de le constater, le système de santé en Géorgie a connu une importante restructuration ces dernières années et de grands progrès ont été réalisés, de sorte que le traitement de la plupart des troubles physiques et psychiques y est désormais possible. Depuis 2013, l'Universal Health Care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 du Tribunal E-6650/2018 du 19 mars 2019 consid. 3.6.3 et réf. cit.).</w:t>
      </w:r>
    </w:p>
    <w:p>
      <w:r>
        <w:rPr>
          <w:b/>
        </w:rPr>
        <w:t>E. 3.8</w:t>
      </w:r>
    </w:p>
    <w:p>
      <w:r>
        <w:t>Il convient d'abord d'examiner si l'état de santé de C_______ est susceptible de le placer dans un cas de nécessité médicale, au sens de l'art. 83 al. 4 LEI.</w:t>
      </w:r>
    </w:p>
    <w:p>
      <w:r>
        <w:rPr>
          <w:b/>
        </w:rPr>
        <w:t>E. 3.8.1</w:t>
      </w:r>
    </w:p>
    <w:p>
      <w:r>
        <w:t>En premier lieu, il convient de relever qu'eu égard à la définition des soins essentiels précitée (voir consid. 3.6), la tradition humanitaire de la Suisse n'a pas vocation à s'appliquer en faveur de ressortissants de pays tiers qui, comme les recourants,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leurs chances de guérison d'une maladie préexistante.</w:t>
      </w:r>
    </w:p>
    <w:p>
      <w:r>
        <w:rPr>
          <w:b/>
        </w:rPr>
        <w:t>E. 3.8.2</w:t>
      </w:r>
    </w:p>
    <w:p>
      <w:r>
        <w:t>Il ressort des déclarations des recourants et des documents médicaux produits à ce jour que C_______ souffre de (...), d'une hypothyroïdie auto-immune et de troubles psychologiques réactionnels. S'agissant d'abord de (...), il sied d'emblée de constater que plusieurs cliniques et hôpitaux sis dans la capitale géorgienne proposent des traitements contre (...) et (...) (Kanveni National Center of Dermatology and Venerology [www.vipmed.ge/en/ncdv-en/, consulté le 10.07.2019, Curatio, Dermatology, http://curatio.ge/en/service_inner/dermatology/20/0, consulté le 10.07.2019], Aversi Clinic [https://aversiclinic.ge/service/55/Dermatology, consulté le 10.07.2019, Hair Transplant Center DeaMed, http://deamed.tilda.ws/treatment_en, consulté le 10.07.2019], Tsilosani Hair Transplant Clinic [www.tsilosani.ge/en/index.html, consulté le 10.07.2019], Best Hair Clinics [www.best-hair-clinics.com/clinics/hairline-international-tbilisi-georgia.html, consulté le 10.07.2019]). D'ailleurs, le jeune C_______ a été suivi par plusieurs médecins en Géorgie et a bénéficié de différents traitements depuis 2012. Au final, ceux-ci n'ont toutefois pas eu l'effet escompté. Sa famille s'est donc rendue en Suisse, sur recommandation d'un dermatologue, pour l'y faire soigner en espérant y trouver un standard de soins plus élevé qu'en Géorgie. Or, pour les raisons exposées ci-avant, les recourants ne sauraient prétendre à un quelconque droit général d'accès en Suisse à des mesures médicales, au simple motif que le savoir-faire médical dans leur pays d'origine n'atteindrait pas le standard élevé que l'on trouve en Suisse. Pour le reste, il ressort du rapport médical du 12 avril 2019 que le traitement immunologique instauré en Suisse n'offre aucune garantie d'une amélioration durable de (...). Sur la base de ce rapport, il n'est aucunement établi que cette maladie connaîtrait une évolution différente, avec la poursuite de ce traitement ou son interruption. En outre, il s'agit d'une maladie qui (...) ne représente pas en soi un danger de que ce soit pour la vie ou la santé. Pour ces raisons, il ne saurait s'agir d'une maladie grave faisant obstacle à l'exécution du renvoi de Suisse pour cas de nécessité médicale au sens de l'art. 83 al. 4 LEI.</w:t>
      </w:r>
    </w:p>
    <w:p>
      <w:r>
        <w:rPr>
          <w:b/>
        </w:rPr>
        <w:t>E. 3.8.3</w:t>
      </w:r>
    </w:p>
    <w:p>
      <w:r>
        <w:t>S'agissant de l'hypothyroïdie auto-immune, il ressort des rapports médicaux versés en la cause que le traitement hormonal de substitution ayant permis de contrôler la maladie avait été instauré en Géorgie en 2014. Il n'y a aucune raison de penser que l'enfant n'aurait plus accès à ce traitement en cas de retour dans son pays. Ce traitement substitutif se constitue de la prise d'un médicament, l'Euthyrox, dont le principe actif est le Levothyroxine. En Géorgie, cette molécule entre dans la composition du médicament « L-thyroxin » qui est disponible à la vente dans les succursales de la chaîne de pharmacie géorgienne Aversi. Il est proposé en doses de 50 mg à 150 mg et coûte entre 5,93 lari géorgiens (GEL) pour 50 comprimés de 50 mg et 13,16 GEL pour 100 comprimés de 150 mg (https://www.aversi.ge/en/aversi/act/searchMedicine/?kw=L-Thyroxin, consulté le 10.07.2019). Sur la base d'informations publiquement accessibles, il ressort que la Levothyroxine est l'une des 24 substances prises en charge financièrement par l'assurance-maladie géorgienne - Universal Health Care (UHC) - (https://factcheck.ge/en/story/28312-what-are-the-changes-in-the-universal-healthcare, consulté le 11.07.2019). Vu son âge, lequel se situe entre 6 et 18 ans, C_______ bénéficierait d'une prise en charge financière sans restriction (cf. SEM, Focus Georgien, Reform im Gesundheitswesen : Staatliche Gesundheitsprogramme und Krankenversicherung, 21.03.2018, p. 23, et également www.moh.gov.ge/en/529/, consulté le 11.07.2019, https://jam-news.net/?p=25969, consulté le 11.07.2019). Partant, comme l'a relevé à juste titre le SEM, C_______ pourra bénéficier d'un accès, en cas de retour en Géorgie, aux soins qui lui sont indispensables pour cette affection.</w:t>
      </w:r>
    </w:p>
    <w:p>
      <w:r>
        <w:rPr>
          <w:b/>
        </w:rPr>
        <w:t>E. 3.8.4</w:t>
      </w:r>
    </w:p>
    <w:p>
      <w:r>
        <w:t>S'agissant enfin des troubles psychiques réactionnels que présente l'enfant (voir rapport médical du 9 mai 2019, Faits, let. U), ils ne sont pas graves au sens où l'entend la jurisprudence précitée relative au cas de nécessité médicale (voir consid. 3.6). Pour le reste, et pour les raisons mentionnées par le SEM dans sa réponse du 24 janvier 2019, à laquelle il est renvoyé (cf. Faits, let. Q), il n'y a pas de raison d'admettre qu'en cas de besoin, l'enfant C_______ n'aurait pas accès à un traitement psychothérapeutique ou à une aide psychologique adéquate à son retour dans son pays d'origine. Au vu de ce qui précède, l'état de santé de C_______ n'est pas susceptible de le placer en cas de retour en Géorgie dans un cas de nécessité médicale au sens de l'art. 83 al. 4 LEI.</w:t>
      </w:r>
    </w:p>
    <w:p>
      <w:r>
        <w:rPr>
          <w:b/>
        </w:rPr>
        <w:t>E. 3.9</w:t>
      </w:r>
    </w:p>
    <w:p>
      <w:r>
        <w:t>Un cas de nécessité médicale n'est pas non plus établi concernant les autres membres de la famille, ce qui n'est d'ailleurs pas contesté.</w:t>
      </w:r>
    </w:p>
    <w:p>
      <w:r>
        <w:rPr>
          <w:b/>
        </w:rPr>
        <w:t>E. 3.10</w:t>
      </w:r>
    </w:p>
    <w:p>
      <w:r>
        <w:t>Pour le reste, il peut être attendu du recourant, qui dispose d'une formation de degré universitaire, qu'il réintègre le marché du travail géorgien et subvienne aux besoins de sa famille et, le cas échéant, aux soins médicaux particuliers, médicaments et thérapies qui ne seraient pas pris en charge par l'UHC. Les recourants disposent par ailleurs d'un réseau social et familial, dont le soutien, tant moral que financier, devrait faciliter leur retour.</w:t>
      </w:r>
    </w:p>
    <w:p>
      <w:r>
        <w:rPr>
          <w:b/>
        </w:rPr>
        <w:t>E. 3.11</w:t>
      </w:r>
    </w:p>
    <w:p>
      <w:r>
        <w:t>Sous l'angle de l'intérêt supérieur de l'enfant, ancré à l'art. 3 par. 1 CDE, il sied de relever que C_______ et son frère D._______, se trouvent à un âge où ils peuvent encore aisément s'adapter à un changement d'environnement. De plus, la relative courte durée de leur séjour en Suisse (moins de deux ans) ne permet pas de considérer qu'ils aient été imprégnés du mode de vie et du contexte culturel helvétique et ce d'autant qu'ils ont passé l'essentiel de leur vie dans leur pays d'origine et qu'ils pourront y retrouver leur environnement le plus familier. Le harcèlement (rejet et moqueries) dont l'enfant C_______ a été victime à l'école en Géorgie en lien avec (...) a eu une incidence négative sur son bien-être psychique. Ses parents ne sont toutefois pas restés inactifs face à cette situation et ont cherché à le protéger en s'adressant aux enseignants et aux parents des élèves concernés. Dans l'hypothèse où le harcèlement recommencerait ensuite de sa reprise de l'école dans une classe possiblement différente de celle antérieurement fréquentée et où les recourants ne parviendraient pas à faire cesser cette situation même en s'adressant aux personnes concernées, il leur appartiendrait, si les actes commis à l'encontre de leur enfant devaient tomber sous le coup de la loi pénale, de faire appel à la justice de leur pays et à des mesures civiles ou administratives particulières de protection. A noter encore que le harcèlement scolaire est répandu dans le Monde. Malheureusement, en Suisse également, ce type de harcèlement est présent dans certains établissements scolaires, sous des formes variées, et, malgré qu'ils en soient témoins, certains enseignants n'interviennent pas, la victime souffrant alors tant du comportement de ses camarades que de l'indifférence des adultes. Il n'est donc pas permis d'affirmer qu'un séjour en Suisse serait de nature à mettre définitivement l'enfant C_______ à l'abri de tout comportement malveillant ou désobligeant. Pour le reste, comme cela ressort du rapport psychiatrique du 9 mai 2019, le séjour en Suisse dans un environnement qui lui est peu familier pose également des difficultés sur le plan psychologique à cet enfant. Pour ces raisons, les difficultés d'intégration sociale qu'il a rencontrées dans son pays d'origine (...) ne justifient pas de prolonger son séjour en Suisse. Au vu de ce qui précède, l'intérêt supérieur de l'enfant ne fait pas non plus obstacle au retour de la famille en Géorgie (cf. ATAF 2009/51 consid. 5.6 ; 2009/28 consid. 9.3.2 et réf. cit.).</w:t>
      </w:r>
    </w:p>
    <w:p>
      <w:r>
        <w:rPr>
          <w:b/>
        </w:rPr>
        <w:t>E. 3.12</w:t>
      </w:r>
    </w:p>
    <w:p>
      <w:r>
        <w:t>En conclusion, le renvoi des recourants et de leurs enfants en Géorgie ne les met pas concrètement en danger au sens de l'art. 83 al. 4 LEI. Le grief de violation de cette disposition légale et de l'art. 3 CDE doit être rejeté.</w:t>
      </w:r>
    </w:p>
    <w:p>
      <w:r>
        <w:rPr>
          <w:b/>
        </w:rPr>
        <w:t>E. 4</w:t>
      </w:r>
    </w:p>
    <w:p>
      <w:r>
        <w:t>Les recourants n'ont pas contesté la licéité de l'exécution du renvoi, au sens de l'art. 83 al. 3 LEI a contrario. Au vu des considérants qui précèdent, des arguments du recours et du dossier (cf. consid. 2.3), il n'y a pas lieu d'examiner plus avant cette question. Il en va de même s'agissant de la possibilité de l'exécution du renvoi au sens de l'art. 83 al. 2 LEI a contrario, étant précisé que les recourants et leurs enfants sont titulaires de passeports nationaux.</w:t>
      </w:r>
    </w:p>
    <w:p>
      <w:r>
        <w:rPr>
          <w:b/>
        </w:rPr>
        <w:t>E. 5</w:t>
      </w:r>
    </w:p>
    <w:p>
      <w:r>
        <w:t>Au vu de ce qui précède, l'exécution du renvoi est conforme aux dispositions légales. Le recours doit donc être rejeté et la décision du SEM ordonnant l'exécution du renvoi être confirmée.</w:t>
      </w:r>
    </w:p>
    <w:p>
      <w:r>
        <w:rPr>
          <w:b/>
        </w:rPr>
        <w:t>E. 6.1</w:t>
      </w:r>
    </w:p>
    <w:p>
      <w:r>
        <w:t>La demande de dispense du paiement des frais de procédure ayant été admise par décision incidente du Tribunal du 16 janvier 2019, il est statué sans frais. Vu l'issue du recours, une indemnité à titre d'honoraires et de débours est accordée au mandataire d'office pour les frais nécessaires causés par le litige (cf. art. 8 à 11 du règlement du 21 février 2008 concernant les frais, dépens et indemnités fixés par le Tribunal administratif fédéral [FITAF, RS 173.320.2], applicables par analogie conformément à l'art. 12 FITAF), à partir du 17 décembre 2018 (voir décision incidente du 16 janvier 2019). En l'absence de dépôt d'un décompte de prestations pour les actes effectués à partir du 17 décembre 2018, l'indemnité est fixée sur la base du dossier (cf. art. 14 al. 2 FITAF). Depuis cette date, outre sa nouvelle demande d'assistance, le mandataire d'office a fait parvenir au Tribunal des documents médicaux (trois courriers), ainsi que sa réplique. Sur la base de ces pièces et d'un tarif horaire de 150 francs, l'indemnité est arrêtée à un montant de 350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