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E-6558/2009 vom 14. Dezember 2009</w:t>
      </w:r>
    </w:p>
    <w:p>
      <w:r>
        <w:t>Bundesverwaltungsgericht, 2009-12-14, DE</w:t>
      </w:r>
    </w:p>
    <w:p>
      <w:r>
        <w:rPr>
          <w:b/>
        </w:rPr>
        <w:t xml:space="preserve">Quelle: </w:t>
      </w:r>
      <w:r>
        <w:t>https://mcp.opencaselaw.ch/entscheid/bvger_E-6558_2009</w:t>
      </w:r>
    </w:p>
    <w:p>
      <w:r>
        <w:t>FR: TAF E-6558/2009 du 14 décembre 2009</w:t>
      </w:r>
    </w:p>
    <w:p>
      <w:r>
        <w:t>IT: TAF E-6558/2009 del 14 dicembre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vom Bun-desamt angeordneten Vollzug der Wegweisung. Die Ziffern 1 (Verneinen der Flüchtlingseigenschaft), 2 (Ablehnung des Asylgesuchs) und 3 (Wegweisung) des Dispositivs der Verfügung des BFM vom 24. September 2009 sind somit mangels Anfechtung in Rechtskraft erwachsen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Guinea ist demnach unter dem Aspekt von Art. 5 AsylG recht- 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Auch die allgemeine Menschenrechtssituation in Guinea lässt den Wegweisungsvollzug zum heutigen Zeitpunkt nicht als unzulässig erscheinen. Der Beschwerdeführer unterliegt als minderjährige Person den Normen des Übereinkommens vom 20. November 1989 über die Rechte des Kindes (KRK, SR 0.107). Art. 22 Abs. 2 KRK zielt darauf ab, durch Mitwirkung der Vertragsstaaten bei der Informationsbeschaffung die Familienzusammenführung zu fördern. Diese Bestimmung beschlägt indessen nur minderjährige Asylsuchende und Flüchtlinge, nicht aber ausländische Kinder, deren Asylgesuch - wie vorliegend - abgewiesen worden ist. Somit besteht keine völkerrechtliche Verpflichtung, im Vor-feld des Vollzugs der Wegweisung einer im Asylverfahren abgewiese-nen minderjährigen Person Abklärungen über den Aufenthaltsort sei-ner Angehörigen vorzunehmen (EMARK 1998 Nr. 13 E. 5d.aa S. 95 f.). Das Kindeswohl gemäss Art. 3 KRK muss jedoch im Rahmen der Zumutbarkeitsprüfung von Art. 83 Abs. 4 AuG als gewichtiger Aspekt mitberücksichtigt werden (a.a.O., E. 5e.aa S. 98 f.). Nach dem Gesagten ist der Vollzug der Wegweisung sowohl im Sinne der asyl- als auch der völkerrechtlichen Bestimmungen zulässig.</w:t>
      </w:r>
    </w:p>
    <w:p>
      <w:r>
        <w:rPr>
          <w:b/>
        </w:rPr>
        <w:t>E. 4.4.1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4.4.2</w:t>
      </w:r>
    </w:p>
    <w:p>
      <w:r>
        <w:t>Eine Situation, welche den Beschwerdeführer als "Gewalt oder de-facto-Flüchtling" qualifizieren würde, lässt sich aufgrund der heutigen Situation in Guinea auch unter Berücksichtigung der Unruhen vom (...) in Z._______ - (...) - entgegen den diesbezüglichen Ausführungen in der Rechtsmitteleingabe nicht bejahen (vgl. beispielsweise Urteil des Bundesverwaltungsgerichts D-7230/2009 vom 27. November 2009).</w:t>
      </w:r>
    </w:p>
    <w:p>
      <w:r>
        <w:rPr>
          <w:b/>
        </w:rPr>
        <w:t>E. 4.4.3.1</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weiterhin gültiger Praxis (Urteil des Bundesverwaltungsgerichts D-5238/2009 vom 1. Oktober 2009) im Falle von unbegleiteten Minderjährigen das Kindeswohl im Rahmen der Prüfung der Zumutbarkeit des Wegweisungsvollzugs mitzuberücksichtigen ist, woraus sich gleichzeitig die Verpflichtung ergibt, von Amtes wegen die spezifisch mit der Minderjährigkeit verbundenen Aspekte des Wegweisungsvollzuges abzuklären.</w:t>
      </w:r>
    </w:p>
    <w:p>
      <w:r>
        <w:rPr>
          <w:b/>
        </w:rPr>
        <w:t>E. 4.4.3.2</w:t>
      </w:r>
    </w:p>
    <w:p>
      <w:r>
        <w:t>Für die Asylbehörden ergibt sich daraus die Verpflichtung,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dass es im betreffenden Land Einrich-tungen gibt, die sich um alleinstehende Kinder oder Jugendliche küm-mern. Es ist vielmehr konkret abzuklären, ob die betreffende minder-jährige Person tatsächlich in ihr familiäres Umfeld zurückgeführt wer-den beziehungsweise ob sie - sollte das nicht möglich sein oder nicht dem Kindeswohl entsprechen - anderweitig untergebracht werden kann (EMARK 2006 Nr. 24, EMARK 2003 Nr. 5, EMRK 1998 Nr. 13), welche Praxis vom Bundesverwaltungsgericht weitergeführt wird (Ur-teile des Bundesverwaltungsgerichts D-5238/2009 vom 1. Oktober 2009 und E-4429/2008 vom 1. September 2008). Das BFM hat daher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(EMARK 1998 Nr. 13 E. 5e.bb S. 100).</w:t>
      </w:r>
    </w:p>
    <w:p>
      <w:r>
        <w:rPr>
          <w:b/>
        </w:rPr>
        <w:t>E. 4.4.3.3</w:t>
      </w:r>
    </w:p>
    <w:p>
      <w:r>
        <w:t>Vorliegend ist festzustellen, dass das BFM in der angefochtenen Verfügung unter Verweis auf seine Abklärungen bei (...) vom (...) und (...) vom (...) mit zutreffender Begründung ausgeführt hat, für den Beschwerdeführer stehe, sollte es ihm nicht gelingen, über seinen Freund den Kontakt mit seinen Verwandten in Guinea herzustellen, die Möglichkeit offen, sich mit Hilfe seiner Rechtsvertretung an die vorstehend erwähnten, in Z._______ tätigen Institutionen zu wenden, die sich um minderjährige Personen kümmern würden. Es sei deshalb davon auszugehen, der Beschwerdeführer werde sich im Heimatstaat zurechtfinden und nicht in eine existenzielle Notlage geraten. In seiner Vernehmlassung führte das Bundesamt des Weiteren in Bezug auf die individuelle Situation des Beschwerdeführers zutreffend aus, das BFM sei am (...) und (...) in schriftlichem Kontakt mit (...) und (...) gestanden. Es komme in Guinea oft vor, dass die Festnetzanschlüsse nicht einwandfrei funktionierten, welcher Umstand nicht im Zusammenhang mit den Unruhen vom (...) stehe. In der angefochtenen Verfügung seien die E-Mail-Adressen der beiden Organisationen erwähnt und davon ausgegangen worden, dass eine Kontaktaufnahme auf diesem Weg erfolge. Der Direktor von (...) habe in seinem Schreiben vom (...) keine Hinweise auf fehlende Auf-nahmekapazitäten gemacht, weshalb die diesbezüglichen Ausführun-gen in der Rechtsmitteleingabe nicht nachvollziehbar seien. Zudem könne der Auffassung der Rechtsvertreterin, der Beschwerdeführer finde bei (...) keine Aufnahme, nicht gefolgt werden. Der nationale Koordinator von (...) in Guinea habe in seinem Schreiben vom (...) an das BFM die Kategorien von Minderjährigen, welche bei der Organisation Aufnahme fänden, ausdrücklich erwähnt. Für den Beschwerdeführer sei es aufgrund seines Alters bei entsprechender Instruktion zumutbar und möglich, nach seiner Rückkehr eine dieser Organisationen selbständig aufzusuchen. Die Ausführungen in der Rechtsmitteleingabe sind nicht geeignet, eine andere Beurteilung herbeizuführen. Insbesondere kann hinsichtlich des Vorbringens, die vorgenannten Organisationen seien trotz wieder-holter Versuche telefonisch nicht erreichbar gewesen, welcher Um-stand möglicherweise auf die am (...) ausgebrochenen Unruhen in Guinea zurückzuführen sei, auf die diesbezüglichen Entgegnungen in der Vernehmlassung verwiesen werden. Des Weiteren ist in Übereinstimmung mit dem Bundesamt gestützt auf die schriftliche Auskunft des nationalen Koordinators von (...) vom (...) festzustellen, dass diese Organisation entgegen der Behauptung in der Beschwerde nicht nur straffällig gewordene Jugendliche oder Opfer von Menschen-handel aufnimmt, sondern beispielsweise auch minderjährige Strassenkinder oder Kinder, die von ihren Eltern getrennt worden sind. Des Weiteren ist festzustellen, dass das Vorbringen, Abklärungen bei (...) hätten ergeben, dass die Möglichkeit für den Beschwerdeführer, im von (...) geführten (...) Zuflucht zu finden, angesichts der schwieri-gen Situation verschwindend klein sei, nicht weiter belegt wird und mangels Offenlegung des Abklärungsergebnisses nicht verifiziert wer-den kann. Aufgrund der Aktenlage und insbesondere aufgrund der vom BFM vorgenommenen Abklärungen ergeben sich jedenfalls zum Zeitpunkt der Urteilsfällung keine Anhaltspunkte dafür, der Wegwei-sungsvollzug nach Guinea könnte für den Beschwerdeführer unzu-mutbar sein. Die mit dem Vollzug beauftragte Behörde wird allenfalls auftretenden Schwierigkeiten bei der Regelung der Rückreisemodali-täten (Begleitung der minderjährigen Person, Ort und Zeit der Über-gabe nach der Ankunft im Heimatland usw.) im Rahmen der Durchfüh-rung des Wegweisungsvollzugs Rechnung zu tragen haben.</w:t>
      </w:r>
    </w:p>
    <w:p>
      <w:r>
        <w:rPr>
          <w:b/>
        </w:rPr>
        <w:t>E. 4.4.4</w:t>
      </w:r>
    </w:p>
    <w:p>
      <w:r>
        <w:t>Im Rahmen einer Gesamtwürdigung sämtlicher Faktoren ist somit zusammenfassend festzuhalten, dass der Vollzug der Wegweisung des Beschwerdeführers nach Guinea als zumutbar zu erachten ist.</w:t>
      </w:r>
    </w:p>
    <w:p>
      <w:r>
        <w:rPr>
          <w:b/>
        </w:rPr>
        <w:t>E. 4.5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 Bei dieser Sachlage ist auf den nicht näher begründeten Even-tualantrag auf Rückweisung der Sache an die Vorinstanz nicht einzu-gehen.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Mit Zwischenverfügung vom 26. Oktober 2009 wurde das Gesuch um Gewährung der unentgeltliche Rechtspflege (Art. 65 Abs. 1 VwVG) gutgeheissen, weshalb der Beschwerdeführer von der Bezahlung der Verfahrenskosten zu befreien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