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E-6551/2007 vom 18. November 2010</w:t>
      </w:r>
    </w:p>
    <w:p>
      <w:r>
        <w:t>Bundesverwaltungsgericht, 2010-11-18, DE</w:t>
      </w:r>
    </w:p>
    <w:p>
      <w:r>
        <w:rPr>
          <w:b/>
        </w:rPr>
        <w:t xml:space="preserve">Quelle: </w:t>
      </w:r>
      <w:r>
        <w:t>https://mcp.opencaselaw.ch/entscheid/bvger_E-6551_2007</w:t>
      </w:r>
    </w:p>
    <w:p>
      <w:r>
        <w:t>FR: TAF E-6551/2007 du 18 novembre 2010</w:t>
      </w:r>
    </w:p>
    <w:p>
      <w:r>
        <w:t>IT: TAF E-6551/2007 del 18 novembre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im Bereich des Ausländerrechts betreffend vorläufige Aufnahme endgültig (Art. 83 Bst. c Ziff. 3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112 Abs. 1 des Bundesgesetzes vom 16. Dezember 2005 über die Ausländerinnen und Ausländer [AuG, SR 142.20] i.V.m. Art. 48 Abs. 1, Art. 50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112 Abs. 1 AuG i.V.m. Art. 49 VwVG).</w:t>
      </w:r>
    </w:p>
    <w:p>
      <w:r>
        <w:rPr>
          <w:b/>
        </w:rPr>
        <w:t>E. 3.1</w:t>
      </w:r>
    </w:p>
    <w:p>
      <w:r>
        <w:t>Die Verfügung des BFM vom 11. Dezember 2006 blieb unangefochten und ist in Rechtskraft erwachsen, weshalb die Beschwerdevorbringen betreffend die Flüchtlingseigenschaft des Beschwerdeführers im vorliegenden Verfahren nicht geprüft werden können. Der Gegenstand der Beschwerde ist somit auf die Frage beschränkt, ob die Vorinstanz die vorläufige Aufnahme des Beschwerdeführers mit Verfügung vom 30. August 2007 zu Recht aufgehoben hat. Daran vermag der in der Beschwerde vorgebrachte Einwand, der Beschwerdeführer habe wegen der vorläufigen Aufnahme auf einen Rekurs gegen die Verfügung des BFM vom 11. Dezember 2006 verzichtet, weil ein Rekurs keine Aussicht auf einen verbesserten Status gehabt hätte (vgl. Beschwerde S. 6), nichts zu ändern. Nachdem keine Veranlassung besteht, die Akten zur Neubeurteilung an das BFM zurückzuweisen, ist der entsprechende Antrag abzuweisen.</w:t>
      </w:r>
    </w:p>
    <w:p>
      <w:r>
        <w:rPr>
          <w:b/>
        </w:rPr>
        <w:t>E. 3.2</w:t>
      </w:r>
    </w:p>
    <w:p>
      <w:r>
        <w:t>Die Voraussetzungen für die Aufhebung der vorläufigen Aufnahme werden seit dem 1. Januar 2008 in Art. 84 Abs. 2 AuG umschrieben. Davor wurde die vorläufige Aufnahme durch das Bundesgesetz vom 26. März 1931 über Aufenthalt und Niederlassung der Ausländer (ANAG) geregelt, welches zeitgleich mit dem Inkrafttreten des AuG aufgehoben wurde (vgl. Art. 125 AuG i.V.m. Ziff. I Anhang 2 zum AuG). Gemäss Art. 126a Abs. 4 AuG gilt - unter Vorbehalt der Absätze 5-7 - für Personen, die im Zeitpunkt des Inkrafttretens der am 16. Dezember 2005 beschlossenen Änderung des Asylgesetzes vom 26. Juni 1998 [AsylG, SR 142.31] sowie des AuG vorläufig aufgenommen waren, das neue Recht. Nachdem der Beschwerdeführer vom BFM mit Verfügung vom 11. Dezember 2006 vorläufig aufgenommen wurde, ist aufgrund der erwähnten übergangsrechtlichen Regelung das Vorliegen der Voraussetzungen für die Aufhebung der vorläufigen Aufnahme nach neuem Recht zu prüfen.</w:t>
      </w:r>
    </w:p>
    <w:p>
      <w:r>
        <w:rPr>
          <w:b/>
        </w:rPr>
        <w:t>E. 4</w:t>
      </w:r>
    </w:p>
    <w:p>
      <w:r>
        <w:t>Wurde eine ausländische Person in der Schweiz vorläufig aufgenommen, so überprüft das BFM periodisch, ob im konkreten Fall die Voraussetzungen für eine vorläufige Aufnahme noch gegeben sind (Art. 84 Abs. 1 AuG). 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 Zu prüfen ist im vorliegenden Beschwerdeverfahren demnach, ob das BFM den Wegweisungsvollzug zu Recht als zulässig, zumutbar und möglich erklärt hat. Beim Geltendmachen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5</w:t>
      </w:r>
    </w:p>
    <w:p>
      <w:r>
        <w:t>Das BFM hatte die ursprünglich geltend gemachten Asylgründe als unglaubhaft qualifiziert. Nach Durchsicht der Vorakten schliesst das Bundesverwaltungsgericht sich dieser Einschätzung an: Die protokollierten Vorbringen müssen als völlig unsubstanziiert, lebensfremd und teilweise unlogisch bezeichnet werden. Der auffälligen Mangel an Realitätskennzeichen und die deutliche Widersprüchlichkeit der protokollierten Aussagen lassen nur den Schluss zu, dass der Beschwerdeführer das Geschilderte nicht selbst erlebt hat. Bezeichnenderweise wurde die Asylverfügung des BFM vom Beschwerdeführer nicht angefochten. Die vom Beschwerdeführer nachträglich eingereichte angebliche Bestätigung eines Gerichts in D._______ weist, wie das BFM zu Recht festhält, verschiedene formale Fälschungsmerkmale auf und lässt sich im Übrigen auch inhaltlich nicht mit den protokollierten Vorbringen des Beschwerdeführers in Einklang bringen. So wird darin festgehalten, der Bruder des Mädchens habe das Liebespaar "am _______" auf dem Dach erwischt, während der Beschwerdeführer angegeben hatte, dieser Vorfall habe "ca. am _______" stattgefunden (vgl. Protokoll Anhörung zu den Asylgründen S. 4). Auch die in der Bestätigung erwähnte Ermordung der Freundin des Beschwerdeführers, angeblich am "_______", hatte dieser erstaunlicherweise bei den Befragungen ebenso wenig erwähnt, wie ihre frühere Vergewaltigung durch unbekannte Dritte. Schliesslich nimmt der Beschwerdeführer auch zur naheliegenden Frage nicht Stellung, wieso er denn die auf _______ datierte angebliche Gerichtsbestätigung nicht früher zu den Akten gereicht und beispielsweise damit eine Beschwerde gegen den negativen Asylentscheid begründet hat. Es handelt sich bei diesem Beweismittel, wie das BFM zu Recht festgestellt hat, offenkundig nicht um ein authentisches Dokument.</w:t>
      </w:r>
    </w:p>
    <w:p>
      <w:r>
        <w:rPr>
          <w:b/>
        </w:rPr>
        <w:t>E. 6</w:t>
      </w:r>
    </w:p>
    <w:p>
      <w:r>
        <w:t>Der Vollzug ist nicht zulässig, wenn völkerrechtliche Verpflichtungen der Schweiz einer Weiterreise der Ausländerin oder des Ausländers in den Heimat-, Herkunfts- oder in einen Drittstaat entgegenstehen (Art. 83 Abs. 3 AuG).</w:t>
      </w:r>
    </w:p>
    <w:p>
      <w:r>
        <w:rPr>
          <w:b/>
        </w:rPr>
        <w:t>E. 6.1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w:t>
      </w:r>
    </w:p>
    <w:p>
      <w:r>
        <w:t>Das BFM wies in der angefochtenen Verfügung zutreffend darauf hin, dass der Grundsatz der Nichtrückschiebung nur Personen schützt, die die Flüchtlingseigenschaft erfüllen. Mit Verfügung vom 23. Mai 2006 wurde rechtskräftig festgestellt, dass der Beschwerdeführer die Flüchtlingseigenschaft gemäss Art. 3 AsylG nicht erfüllt, weshalb das in Art. 5 AsylG verankerte Prinzip des flüchtlingsrechtlichen Non-Refoulements im vorliegenden Verfahren keine Anwendung finden kann. Eine Rückkehr des Beschwerdeführers in den Nordirak ist demnach unter dem Aspekt von Art. 5 AsylG rechtmässig.</w:t>
      </w:r>
    </w:p>
    <w:p>
      <w:r>
        <w:rPr>
          <w:b/>
        </w:rPr>
        <w:t>E. 6.3</w:t>
      </w:r>
    </w:p>
    <w:p>
      <w:r>
        <w:t>Nach dem oben Gesagten ergeben sich weder aus den Aussagen des Beschwerdeführers noch aus den Akten Anhaltspunkte für die Annahme, dass er bei einer Rückkehr in den Nordirak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gelingt ihm offensichtlich nicht. Auch die allgemeine Sicherheits- und Menschenrechtslage in den drei kurdischen Provinzen Dohuk, Erbil und Sulaymaniya (vgl. dazu Erwägung 7), lassen den Wegweisungsvollzug nach konstanter Praxis des Bundesverwaltungsgerichts nicht als unzulässig erscheinen.</w:t>
      </w:r>
    </w:p>
    <w:p>
      <w:r>
        <w:rPr>
          <w:b/>
        </w:rPr>
        <w:t>E. 6.4</w:t>
      </w:r>
    </w:p>
    <w:p>
      <w:r>
        <w:t>Nach dem Gesagten ist der Vollzug der Wegweisung sowohl im Sinne der asyl- als auch der völkerrechtlichen Bestimmungen zulässig.</w:t>
      </w:r>
    </w:p>
    <w:p>
      <w:r>
        <w:rPr>
          <w:b/>
        </w:rPr>
        <w:t>E. 7</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7.1</w:t>
      </w:r>
    </w:p>
    <w:p>
      <w:r>
        <w:t>Das Bundesverwaltungsgericht geht gemäss seiner nach wie vor aktuellen Praxis davon aus, dass in den drei kurdischen Provinzen Dohuk, Erbil und Suleimaniya keine Situation allgemeiner Gewalt herrscht und die dortige politische Lage nicht dermassen angespannt ist, dass eine Rückführung dorthin generell als unzumutbar betrachtet werden müsste (vgl. BVGE 2008/5 E. 7.5). Zusammenfassend wird im erwähnten Entscheid festgehalten, dass die Anordnung des Wegweisungsvollzugs in der Regel für alleinstehende, gesunde und junge kurdische Männer, die ursprünglich aus einer der drei kurdischen Provinzen stammen oder eine längere Zeit dort gelebt haben und dort nach wie vor über ein soziales Netz (Familie, Verwandtschaft oder Bekanntenkreis) oder Parteibeziehungen verfügen, zumutbar ist, während für alleinstehende Frauen und für Familien mit Kindern, sowie für Kranke und Betagte bei der Feststellung der Zumutbarkeit des Wegweisungsvollzugs grosse Zurückhaltung angebracht ist (vgl. a.a.O. E. 7.5.8). Die Sicherheitssituation in den drei kurdischen Provinzen hat sich seit Publikation des erwähnten Urteils nicht verschlechtert, im Gegenteil. In der überwiegenden Mehrheit der Berichte von Regierungs- und Nichtregierungsorganisationen sowie des UN-Sicherheitsrats wird eine insgesamt stabile Situation beschrieben (vgl. dazu etwa UNHCR, Note on the Continued Applicability of the April 2009 UNHCR Eligibility Guidelines for Assessing the International Protection Needs of Iraqi Asylum-Seekers, Juli 2010, S. 2).</w:t>
      </w:r>
    </w:p>
    <w:p>
      <w:r>
        <w:rPr>
          <w:b/>
        </w:rPr>
        <w:t>E. 7.2</w:t>
      </w:r>
    </w:p>
    <w:p>
      <w:r>
        <w:t>Der Beschwerdeführer ist ein junger Mann ohne familiäre Verpflichtungen und ohne aktenkundige gesundheitliche Probleme. Er ist kurdischer Ethnie und Sprache und hat seit seiner Geburt bis zur Ausreise in der Provinz F._______ gelebt, wo auch seine Eltern und zwei Geschwister ansässig sind. Nebst dem familiären Beziehungsnetz dürfte er in der Provinz F._______ über weitere soziale Anknüpfungspunkte verfügen. Er war bis zur Ausreise als Bauarbeiter erwerbstätig. Vor diesem Hintergrund kann davon ausgegangen werden, dass der Beschwerdeführer nach seiner Rückkehr in den Nordirak in der Lage sein wird, sich wiederum eine tragfähige Existenz aufzubauen. Es ist demnach nicht davon auszugehen, dass der Beschwerdeführer bei seiner Rückkehr in die Heimatstadt aus individuellen Gründen wirtschaftlicher, sozialer oder gesundheitlicher Natur in eine existenzbedrohende Situation geraten würde.</w:t>
      </w:r>
    </w:p>
    <w:p>
      <w:r>
        <w:rPr>
          <w:b/>
        </w:rPr>
        <w:t>E. 7.3</w:t>
      </w:r>
    </w:p>
    <w:p>
      <w:r>
        <w:t>Der Vollzug der Wegweisung erweist sich sowohl aufgrund der allgemeinen Sicherheitslage in den drei kurdischen Nordprovinzen als auch in individueller Hinsicht als zumutbar.</w:t>
      </w:r>
    </w:p>
    <w:p>
      <w:r>
        <w:rPr>
          <w:b/>
        </w:rPr>
        <w:t>E. 8</w:t>
      </w:r>
    </w:p>
    <w:p>
      <w:r>
        <w:t>Schliesslich obliegt es dem Beschwerdeführer aufgrund seiner Mitwirkungspflicht, sich bei der zuständigen Vertretung des Heimatstaates die für eine Rückkehr notwendigen Reisedokumente zu beschaffen, weshalb der Vollzug der Wegweisung auch als möglich zu bezeichnen ist (Art. 83 Abs. 2 AuG).</w:t>
      </w:r>
    </w:p>
    <w:p>
      <w:r>
        <w:rPr>
          <w:b/>
        </w:rPr>
        <w:t>E. 9</w:t>
      </w:r>
    </w:p>
    <w:p>
      <w:r>
        <w:t>Insgesamt ist die durch die Vorinstanz verfügte Aufhebung der vorläufigen Aufnahme zu bestätigen. Die Vorinstanz hat den Vollzug der Wegweisung zu Recht als zulässig, zumutbar und möglich bezeichnet. Es erübrigt sich, auf die weiteren Ausführungen in der Eingabe des Beschwerdeführers einzugehen, da sie an dieser Würdigung nichts zu ändern vermögen.</w:t>
      </w:r>
    </w:p>
    <w:p>
      <w:r>
        <w:rPr>
          <w:b/>
        </w:rPr>
        <w:t>E. 10</w:t>
      </w:r>
    </w:p>
    <w:p>
      <w:r>
        <w:t>Aus diesen Erwägungen ergibt sich, dass die angefochtene Verfügung Bundesrecht nicht verletzt, den rechtserheblichen Sachverhalt richtig und vollständig feststellt und angemessen ist. Die Beschwerde ist damit abzuweisen.</w:t>
      </w:r>
    </w:p>
    <w:p>
      <w:r>
        <w:rPr>
          <w:b/>
        </w:rPr>
        <w:t>E. 11</w:t>
      </w:r>
    </w:p>
    <w:p>
      <w:r>
        <w:t>Nachdem der Beschwerdeführer seit längerer Zeit in der Schweiz erwerbstätig ist, kann nicht mehr von seiner prozessualen Bedürftigkeit gemäss Art. 65 Abs. 1 VwVG ausgegangen werden. Sein Gesuch um Gewährung der unentgeltlichen Rechtspflege ist deshalb abzuweisen.</w:t>
      </w:r>
    </w:p>
    <w:p>
      <w:r>
        <w:rPr>
          <w:b/>
        </w:rPr>
        <w:t>E. 12</w:t>
      </w:r>
    </w:p>
    <w:p>
      <w:r>
        <w:t>Bei diesem Ausgang des Verfahrens sind die Kosten dem Beschwerdeführer aufzuerlegen (Art. 63 Abs. 1 und 5 VwVG) und auf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